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867DCB" w14:textId="72C46A86" w:rsidR="009B1586" w:rsidRPr="000B2054" w:rsidRDefault="009D4462" w:rsidP="008207D1">
      <w:pPr>
        <w:pStyle w:val="Header"/>
        <w:jc w:val="center"/>
        <w:rPr>
          <w:rFonts w:ascii="Calibri" w:hAnsi="Calibri" w:cs="Calibri"/>
        </w:rPr>
      </w:pPr>
      <w:r w:rsidRPr="000B2054">
        <w:rPr>
          <w:rFonts w:ascii="Calibri" w:hAnsi="Calibri" w:cs="Calibri"/>
          <w:b/>
          <w:bCs/>
          <w:color w:val="003459" w:themeColor="accent5"/>
          <w:sz w:val="30"/>
          <w:szCs w:val="30"/>
          <w:u w:val="single"/>
        </w:rPr>
        <w:t xml:space="preserve">Academic Program Review (APR) Metrics and Corresponding </w:t>
      </w:r>
      <w:r w:rsidR="004B436C">
        <w:rPr>
          <w:rFonts w:ascii="Calibri" w:hAnsi="Calibri" w:cs="Calibri"/>
          <w:b/>
          <w:bCs/>
          <w:color w:val="003459" w:themeColor="accent5"/>
          <w:sz w:val="30"/>
          <w:szCs w:val="30"/>
          <w:u w:val="single"/>
        </w:rPr>
        <w:t>Strategic Alignment Dashboard</w:t>
      </w:r>
      <w:r w:rsidR="008207D1">
        <w:rPr>
          <w:rFonts w:ascii="Calibri" w:hAnsi="Calibri" w:cs="Calibri"/>
          <w:b/>
          <w:bCs/>
          <w:color w:val="003459" w:themeColor="accent5"/>
          <w:sz w:val="30"/>
          <w:szCs w:val="30"/>
          <w:u w:val="single"/>
        </w:rPr>
        <w:t xml:space="preserve"> Element</w:t>
      </w:r>
    </w:p>
    <w:p w14:paraId="49F5BAE9" w14:textId="2CDA0765" w:rsidR="00CB02F9" w:rsidRDefault="00492983" w:rsidP="004B436C">
      <w:pPr>
        <w:rPr>
          <w:rFonts w:ascii="Calibri" w:hAnsi="Calibri" w:cs="Calibri"/>
        </w:rPr>
      </w:pPr>
      <w:r>
        <w:br/>
      </w:r>
      <w:r w:rsidRPr="37E1947E">
        <w:rPr>
          <w:rFonts w:ascii="Calibri" w:hAnsi="Calibri" w:cs="Calibri"/>
        </w:rPr>
        <w:t>The following table lists the 202</w:t>
      </w:r>
      <w:r w:rsidR="37457184" w:rsidRPr="37E1947E">
        <w:rPr>
          <w:rFonts w:ascii="Calibri" w:hAnsi="Calibri" w:cs="Calibri"/>
        </w:rPr>
        <w:t>6</w:t>
      </w:r>
      <w:r w:rsidRPr="37E1947E">
        <w:rPr>
          <w:rFonts w:ascii="Calibri" w:hAnsi="Calibri" w:cs="Calibri"/>
        </w:rPr>
        <w:t xml:space="preserve"> Academic Program Review (APR) metrics, the location of the data in the </w:t>
      </w:r>
      <w:hyperlink r:id="rId10">
        <w:r w:rsidRPr="37E1947E">
          <w:rPr>
            <w:rStyle w:val="Hyperlink"/>
            <w:rFonts w:ascii="Calibri" w:hAnsi="Calibri" w:cs="Calibri"/>
          </w:rPr>
          <w:t>Strategic Alignment Dashboard</w:t>
        </w:r>
      </w:hyperlink>
      <w:r w:rsidR="000F2D2E" w:rsidRPr="37E1947E">
        <w:rPr>
          <w:rFonts w:ascii="Calibri" w:hAnsi="Calibri" w:cs="Calibri"/>
        </w:rPr>
        <w:t xml:space="preserve"> or elsewhere, </w:t>
      </w:r>
      <w:r w:rsidRPr="37E1947E">
        <w:rPr>
          <w:rFonts w:ascii="Calibri" w:hAnsi="Calibri" w:cs="Calibri"/>
        </w:rPr>
        <w:t>and the corresponding SSR question.</w:t>
      </w:r>
      <w:r w:rsidR="00A2600B">
        <w:rPr>
          <w:rFonts w:ascii="Calibri" w:hAnsi="Calibri" w:cs="Calibri"/>
        </w:rPr>
        <w:t xml:space="preserve"> Please see below the table for more information on navigating the Strategic Alignment Dashboard.  </w:t>
      </w:r>
    </w:p>
    <w:p w14:paraId="6C5CCD5F" w14:textId="77777777" w:rsidR="003C53DD" w:rsidRPr="004B436C" w:rsidRDefault="003C53DD" w:rsidP="004B436C">
      <w:pPr>
        <w:rPr>
          <w:rFonts w:ascii="Calibri" w:hAnsi="Calibri" w:cs="Calibri"/>
        </w:rPr>
      </w:pPr>
    </w:p>
    <w:tbl>
      <w:tblPr>
        <w:tblStyle w:val="TableGrid"/>
        <w:tblW w:w="0" w:type="auto"/>
        <w:tblLook w:val="04A0" w:firstRow="1" w:lastRow="0" w:firstColumn="1" w:lastColumn="0" w:noHBand="0" w:noVBand="1"/>
      </w:tblPr>
      <w:tblGrid>
        <w:gridCol w:w="1440"/>
        <w:gridCol w:w="2535"/>
        <w:gridCol w:w="3900"/>
        <w:gridCol w:w="2175"/>
      </w:tblGrid>
      <w:tr w:rsidR="37E1947E" w14:paraId="1A0EF2B9" w14:textId="77777777" w:rsidTr="37E1947E">
        <w:trPr>
          <w:trHeight w:val="25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shd w:val="clear" w:color="auto" w:fill="003459" w:themeFill="accent5"/>
            <w:tcMar>
              <w:left w:w="108" w:type="dxa"/>
              <w:right w:w="108" w:type="dxa"/>
            </w:tcMar>
          </w:tcPr>
          <w:p w14:paraId="6A6FA155" w14:textId="11210738" w:rsidR="37E1947E" w:rsidRDefault="37E1947E" w:rsidP="37E1947E">
            <w:pPr>
              <w:jc w:val="center"/>
            </w:pPr>
            <w:r w:rsidRPr="37E1947E">
              <w:rPr>
                <w:rFonts w:ascii="Calibri" w:eastAsia="Calibri" w:hAnsi="Calibri" w:cs="Calibri"/>
                <w:b/>
                <w:bCs/>
                <w:color w:val="FFFFFF" w:themeColor="background1"/>
                <w:sz w:val="24"/>
                <w:szCs w:val="24"/>
              </w:rPr>
              <w:t>SSR Question</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shd w:val="clear" w:color="auto" w:fill="003459" w:themeFill="accent5"/>
            <w:tcMar>
              <w:left w:w="108" w:type="dxa"/>
              <w:right w:w="108" w:type="dxa"/>
            </w:tcMar>
          </w:tcPr>
          <w:p w14:paraId="4905095C" w14:textId="7A0C8DF5" w:rsidR="37E1947E" w:rsidRDefault="37E1947E" w:rsidP="37E1947E">
            <w:pPr>
              <w:jc w:val="center"/>
            </w:pPr>
            <w:r w:rsidRPr="37E1947E">
              <w:rPr>
                <w:rFonts w:ascii="Calibri" w:eastAsia="Calibri" w:hAnsi="Calibri" w:cs="Calibri"/>
                <w:b/>
                <w:bCs/>
                <w:color w:val="FFFFFF" w:themeColor="background1"/>
                <w:sz w:val="24"/>
                <w:szCs w:val="24"/>
              </w:rPr>
              <w:t>APR Metric</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shd w:val="clear" w:color="auto" w:fill="003459" w:themeFill="accent5"/>
            <w:tcMar>
              <w:left w:w="108" w:type="dxa"/>
              <w:right w:w="108" w:type="dxa"/>
            </w:tcMar>
          </w:tcPr>
          <w:p w14:paraId="23A1F01C" w14:textId="0B05719C" w:rsidR="37E1947E" w:rsidRDefault="37E1947E" w:rsidP="37E1947E">
            <w:pPr>
              <w:jc w:val="center"/>
            </w:pPr>
            <w:r w:rsidRPr="37E1947E">
              <w:rPr>
                <w:rFonts w:ascii="Aptos" w:eastAsia="Aptos" w:hAnsi="Aptos" w:cs="Aptos"/>
                <w:b/>
                <w:bCs/>
                <w:color w:val="FFFFFF" w:themeColor="background1"/>
              </w:rPr>
              <w:t>Data Link</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shd w:val="clear" w:color="auto" w:fill="003459" w:themeFill="accent5"/>
            <w:tcMar>
              <w:left w:w="108" w:type="dxa"/>
              <w:right w:w="108" w:type="dxa"/>
            </w:tcMar>
          </w:tcPr>
          <w:p w14:paraId="6222CD35" w14:textId="087C9127" w:rsidR="37E1947E" w:rsidRDefault="37E1947E" w:rsidP="37E1947E">
            <w:pPr>
              <w:jc w:val="center"/>
            </w:pPr>
            <w:r w:rsidRPr="37E1947E">
              <w:rPr>
                <w:rFonts w:ascii="Calibri" w:eastAsia="Calibri" w:hAnsi="Calibri" w:cs="Calibri"/>
                <w:b/>
                <w:bCs/>
                <w:color w:val="FFFFFF" w:themeColor="background1"/>
                <w:sz w:val="24"/>
                <w:szCs w:val="24"/>
              </w:rPr>
              <w:t>Help Videos</w:t>
            </w:r>
          </w:p>
        </w:tc>
      </w:tr>
      <w:tr w:rsidR="37E1947E" w14:paraId="1642E8E1" w14:textId="77777777" w:rsidTr="37E1947E">
        <w:trPr>
          <w:trHeight w:val="13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67F3CF9" w14:textId="49436184" w:rsidR="37E1947E" w:rsidRDefault="37E1947E" w:rsidP="37E1947E">
            <w:pPr>
              <w:jc w:val="center"/>
            </w:pPr>
            <w:r w:rsidRPr="37E1947E">
              <w:rPr>
                <w:rFonts w:ascii="Calibri" w:eastAsia="Calibri" w:hAnsi="Calibri" w:cs="Calibri"/>
                <w:b/>
                <w:bCs/>
              </w:rPr>
              <w:t xml:space="preserve"> </w:t>
            </w:r>
          </w:p>
          <w:p w14:paraId="7C969314" w14:textId="75190863" w:rsidR="37E1947E" w:rsidRDefault="37E1947E" w:rsidP="37E1947E">
            <w:pPr>
              <w:jc w:val="center"/>
            </w:pPr>
            <w:r w:rsidRPr="37E1947E">
              <w:rPr>
                <w:rFonts w:ascii="Calibri" w:eastAsia="Calibri" w:hAnsi="Calibri" w:cs="Calibri"/>
                <w:b/>
                <w:bCs/>
              </w:rPr>
              <w:t>2a</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2894B3B" w14:textId="23687468" w:rsidR="37E1947E" w:rsidRDefault="37E1947E" w:rsidP="37E1947E">
            <w:pPr>
              <w:spacing w:after="160" w:line="257" w:lineRule="auto"/>
            </w:pPr>
            <w:r w:rsidRPr="37E1947E">
              <w:rPr>
                <w:rFonts w:ascii="Calibri" w:eastAsia="Calibri" w:hAnsi="Calibri" w:cs="Calibri"/>
              </w:rPr>
              <w:t xml:space="preserve">Counts &amp; Amounts of Active Awards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FC03C31" w14:textId="386EC1C9" w:rsidR="37E1947E" w:rsidRDefault="37E1947E" w:rsidP="37E1947E">
            <w:pPr>
              <w:rPr>
                <w:rFonts w:ascii="Calibri" w:eastAsia="Calibri" w:hAnsi="Calibri" w:cs="Calibri"/>
              </w:rPr>
            </w:pPr>
            <w:hyperlink r:id="rId11">
              <w:r w:rsidRPr="37E1947E">
                <w:rPr>
                  <w:rStyle w:val="Hyperlink"/>
                  <w:rFonts w:ascii="Calibri" w:eastAsia="Calibri" w:hAnsi="Calibri" w:cs="Calibri"/>
                  <w:color w:val="0563C1"/>
                </w:rPr>
                <w:t>Research &amp; Discovery &gt; Priority Metrics</w:t>
              </w:r>
            </w:hyperlink>
            <w:r w:rsidRPr="37E1947E">
              <w:rPr>
                <w:rFonts w:ascii="Calibri" w:eastAsia="Calibri" w:hAnsi="Calibri" w:cs="Calibri"/>
              </w:rPr>
              <w:t xml:space="preserve"> &gt; Active Awards Amounts &amp; Counts</w:t>
            </w:r>
            <w:r>
              <w:br/>
            </w:r>
            <w:r w:rsidRPr="37E1947E">
              <w:rPr>
                <w:rFonts w:ascii="Calibri" w:eastAsia="Calibri" w:hAnsi="Calibri" w:cs="Calibri"/>
              </w:rPr>
              <w:t xml:space="preserve"> </w:t>
            </w:r>
            <w:r>
              <w:br/>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EDEF384" w14:textId="430948B7" w:rsidR="5085E713" w:rsidRDefault="5085E713" w:rsidP="37E1947E">
            <w:pPr>
              <w:rPr>
                <w:rFonts w:ascii="Aptos" w:eastAsia="Aptos" w:hAnsi="Aptos" w:cs="Aptos"/>
              </w:rPr>
            </w:pPr>
            <w:r w:rsidRPr="37E1947E">
              <w:rPr>
                <w:rFonts w:ascii="Aptos" w:eastAsia="Aptos" w:hAnsi="Aptos" w:cs="Aptos"/>
              </w:rPr>
              <w:t>See below for Strategic Alignment/OAC dashboards</w:t>
            </w:r>
          </w:p>
        </w:tc>
      </w:tr>
      <w:tr w:rsidR="37E1947E" w14:paraId="22B8C54B" w14:textId="77777777" w:rsidTr="37E1947E">
        <w:trPr>
          <w:trHeight w:val="390"/>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A680246" w14:textId="2E3EDCFE"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79EE3C9" w14:textId="23AA3E02" w:rsidR="37E1947E" w:rsidRDefault="37E1947E" w:rsidP="37E1947E">
            <w:pPr>
              <w:spacing w:after="160" w:line="257" w:lineRule="auto"/>
            </w:pPr>
            <w:r w:rsidRPr="37E1947E">
              <w:rPr>
                <w:rFonts w:ascii="Calibri" w:eastAsia="Calibri" w:hAnsi="Calibri" w:cs="Calibri"/>
              </w:rPr>
              <w:t xml:space="preserve">Expenditure trend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3C0412E" w14:textId="489CCC01" w:rsidR="37E1947E" w:rsidRDefault="37E1947E" w:rsidP="37E1947E">
            <w:hyperlink r:id="rId12">
              <w:r w:rsidRPr="37E1947E">
                <w:rPr>
                  <w:rStyle w:val="Hyperlink"/>
                  <w:rFonts w:ascii="Calibri" w:eastAsia="Calibri" w:hAnsi="Calibri" w:cs="Calibri"/>
                  <w:color w:val="0563C1"/>
                </w:rPr>
                <w:t>Research &amp; Discovery &gt; Priority Metrics</w:t>
              </w:r>
            </w:hyperlink>
            <w:r w:rsidRPr="37E1947E">
              <w:rPr>
                <w:rFonts w:ascii="Calibri" w:eastAsia="Calibri" w:hAnsi="Calibri" w:cs="Calibri"/>
              </w:rPr>
              <w:t xml:space="preserve"> &gt;</w:t>
            </w:r>
            <w:r w:rsidRPr="37E1947E">
              <w:rPr>
                <w:rFonts w:ascii="Aptos" w:eastAsia="Aptos" w:hAnsi="Aptos" w:cs="Aptos"/>
              </w:rPr>
              <w:t xml:space="preserve"> </w:t>
            </w:r>
            <w:r w:rsidRPr="37E1947E">
              <w:rPr>
                <w:rFonts w:ascii="Calibri" w:eastAsia="Calibri" w:hAnsi="Calibri" w:cs="Calibri"/>
              </w:rPr>
              <w:t>Research &amp; Development Expenditures</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7C0018E" w14:textId="74438579" w:rsidR="27B6A1F2" w:rsidRDefault="27B6A1F2" w:rsidP="37E1947E">
            <w:pPr>
              <w:rPr>
                <w:rFonts w:ascii="Aptos" w:eastAsia="Aptos" w:hAnsi="Aptos" w:cs="Aptos"/>
              </w:rPr>
            </w:pPr>
            <w:r w:rsidRPr="37E1947E">
              <w:rPr>
                <w:rFonts w:ascii="Aptos" w:eastAsia="Aptos" w:hAnsi="Aptos" w:cs="Aptos"/>
              </w:rPr>
              <w:t>See below for Strategic Alignment/OAC dashboards</w:t>
            </w:r>
          </w:p>
          <w:p w14:paraId="008255F3" w14:textId="24E93019" w:rsidR="37E1947E" w:rsidRDefault="37E1947E" w:rsidP="37E1947E">
            <w:pPr>
              <w:rPr>
                <w:rFonts w:ascii="Aptos" w:eastAsia="Aptos" w:hAnsi="Aptos" w:cs="Aptos"/>
              </w:rPr>
            </w:pPr>
          </w:p>
        </w:tc>
      </w:tr>
      <w:tr w:rsidR="37E1947E" w14:paraId="187599D8" w14:textId="77777777" w:rsidTr="37E1947E">
        <w:trPr>
          <w:trHeight w:val="390"/>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A843038" w14:textId="223D9B2A"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12FE30A" w14:textId="2A05D04E" w:rsidR="37E1947E" w:rsidRDefault="37E1947E" w:rsidP="37E1947E">
            <w:pPr>
              <w:spacing w:after="160" w:line="257" w:lineRule="auto"/>
            </w:pPr>
            <w:r w:rsidRPr="37E1947E">
              <w:rPr>
                <w:rFonts w:ascii="Calibri" w:eastAsia="Calibri" w:hAnsi="Calibri" w:cs="Calibri"/>
              </w:rPr>
              <w:t>List of TTT with active awards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DE6B3FB" w14:textId="49972901" w:rsidR="37E1947E" w:rsidRDefault="37E1947E" w:rsidP="37E1947E">
            <w:pPr>
              <w:rPr>
                <w:rFonts w:ascii="Calibri" w:eastAsia="Calibri" w:hAnsi="Calibri" w:cs="Calibri"/>
              </w:rPr>
            </w:pPr>
            <w:hyperlink r:id="rId13">
              <w:r w:rsidRPr="37E1947E">
                <w:rPr>
                  <w:rStyle w:val="Hyperlink"/>
                  <w:rFonts w:ascii="Calibri" w:eastAsia="Calibri" w:hAnsi="Calibri" w:cs="Calibri"/>
                  <w:color w:val="0563C1"/>
                </w:rPr>
                <w:t>Research &amp; Discovery &gt; Tenure &amp; Tenure Track Faculty w/ Active Awards</w:t>
              </w:r>
            </w:hyperlink>
            <w:r>
              <w:br/>
            </w:r>
            <w:r w:rsidRPr="37E1947E">
              <w:rPr>
                <w:rFonts w:ascii="Calibri" w:eastAsia="Calibri" w:hAnsi="Calibri" w:cs="Calibri"/>
              </w:rPr>
              <w:t xml:space="preserve"> </w:t>
            </w:r>
            <w:r>
              <w:br/>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30E47A5" w14:textId="25648CAD" w:rsidR="4D7A5CDD" w:rsidRDefault="4D7A5CDD" w:rsidP="37E1947E">
            <w:pPr>
              <w:rPr>
                <w:rFonts w:ascii="Aptos" w:eastAsia="Aptos" w:hAnsi="Aptos" w:cs="Aptos"/>
              </w:rPr>
            </w:pPr>
            <w:r w:rsidRPr="37E1947E">
              <w:rPr>
                <w:rFonts w:ascii="Aptos" w:eastAsia="Aptos" w:hAnsi="Aptos" w:cs="Aptos"/>
              </w:rPr>
              <w:t>See below for Strategic Alignment/OAC dashboards</w:t>
            </w:r>
          </w:p>
          <w:p w14:paraId="1827CC39" w14:textId="2D57DE7A" w:rsidR="37E1947E" w:rsidRDefault="37E1947E" w:rsidP="37E1947E">
            <w:pPr>
              <w:rPr>
                <w:rFonts w:ascii="Aptos" w:eastAsia="Aptos" w:hAnsi="Aptos" w:cs="Aptos"/>
              </w:rPr>
            </w:pPr>
          </w:p>
        </w:tc>
      </w:tr>
      <w:tr w:rsidR="37E1947E" w14:paraId="30F4556A" w14:textId="77777777" w:rsidTr="37E1947E">
        <w:trPr>
          <w:trHeight w:val="28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9C26AEB" w14:textId="48957F11"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F3337E3" w14:textId="15F0610D" w:rsidR="37E1947E" w:rsidRDefault="37E1947E" w:rsidP="37E1947E">
            <w:pPr>
              <w:spacing w:after="160" w:line="257" w:lineRule="auto"/>
            </w:pPr>
            <w:r w:rsidRPr="37E1947E">
              <w:rPr>
                <w:rFonts w:ascii="Calibri" w:eastAsia="Calibri" w:hAnsi="Calibri" w:cs="Calibri"/>
              </w:rPr>
              <w:t xml:space="preserve">Expenses per Tenure &amp; Tenure Track Faculty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15808F8" w14:textId="2395EE88" w:rsidR="37E1947E" w:rsidRDefault="37E1947E" w:rsidP="37E1947E">
            <w:hyperlink r:id="rId14">
              <w:r w:rsidRPr="37E1947E">
                <w:rPr>
                  <w:rStyle w:val="Hyperlink"/>
                  <w:rFonts w:ascii="Calibri" w:eastAsia="Calibri" w:hAnsi="Calibri" w:cs="Calibri"/>
                  <w:color w:val="0563C1"/>
                </w:rPr>
                <w:t>Research &amp; Discovery &gt; Priority Metrics</w:t>
              </w:r>
            </w:hyperlink>
            <w:r w:rsidRPr="37E1947E">
              <w:rPr>
                <w:rFonts w:ascii="Calibri" w:eastAsia="Calibri" w:hAnsi="Calibri" w:cs="Calibri"/>
              </w:rPr>
              <w:t xml:space="preserve"> &gt; Research &amp; Development Expenditures</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8E86EA1" w14:textId="74AB60A5" w:rsidR="4CF3A599" w:rsidRDefault="4CF3A599" w:rsidP="37E1947E">
            <w:pPr>
              <w:rPr>
                <w:rFonts w:ascii="Aptos" w:eastAsia="Aptos" w:hAnsi="Aptos" w:cs="Aptos"/>
              </w:rPr>
            </w:pPr>
            <w:r w:rsidRPr="37E1947E">
              <w:rPr>
                <w:rFonts w:ascii="Aptos" w:eastAsia="Aptos" w:hAnsi="Aptos" w:cs="Aptos"/>
              </w:rPr>
              <w:t>See below for Strategic Alignment/OAC dashboards</w:t>
            </w:r>
          </w:p>
        </w:tc>
      </w:tr>
      <w:tr w:rsidR="37E1947E" w14:paraId="6F1C3A93" w14:textId="77777777" w:rsidTr="37E1947E">
        <w:trPr>
          <w:trHeight w:val="28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DD40CC8" w14:textId="5EBB3EF2"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530D7A0" w14:textId="5997310C" w:rsidR="37E1947E" w:rsidRDefault="37E1947E" w:rsidP="37E1947E">
            <w:pPr>
              <w:spacing w:after="160" w:line="257" w:lineRule="auto"/>
            </w:pPr>
            <w:r w:rsidRPr="37E1947E">
              <w:rPr>
                <w:rFonts w:ascii="Calibri" w:eastAsia="Calibri" w:hAnsi="Calibri" w:cs="Calibri"/>
              </w:rPr>
              <w:t>Faculty Productivity Radar</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9B90E22" w14:textId="58EEA48F" w:rsidR="37E1947E" w:rsidRDefault="37E1947E" w:rsidP="37E1947E">
            <w:hyperlink r:id="rId15">
              <w:r w:rsidRPr="37E1947E">
                <w:rPr>
                  <w:rStyle w:val="Hyperlink"/>
                  <w:rFonts w:ascii="Calibri" w:eastAsia="Calibri" w:hAnsi="Calibri" w:cs="Calibri"/>
                  <w:color w:val="0563C1"/>
                </w:rPr>
                <w:t>Research &amp; Discovery &gt; Faculty Productivity</w:t>
              </w:r>
            </w:hyperlink>
            <w:r w:rsidRPr="37E1947E">
              <w:rPr>
                <w:rFonts w:ascii="Calibri" w:eastAsia="Calibri" w:hAnsi="Calibri" w:cs="Calibri"/>
              </w:rPr>
              <w:t xml:space="preserve"> </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F2000FF" w14:textId="62794ECC" w:rsidR="37E1947E" w:rsidRPr="00FC5547" w:rsidRDefault="37E1947E" w:rsidP="37E1947E">
            <w:pPr>
              <w:rPr>
                <w:highlight w:val="yellow"/>
              </w:rPr>
            </w:pPr>
            <w:hyperlink r:id="rId16">
              <w:r w:rsidRPr="009D18D8">
                <w:rPr>
                  <w:rStyle w:val="Hyperlink"/>
                  <w:rFonts w:ascii="Aptos" w:eastAsia="Aptos" w:hAnsi="Aptos" w:cs="Aptos"/>
                  <w:color w:val="0563C1"/>
                </w:rPr>
                <w:t>Faculty Productivity Radar</w:t>
              </w:r>
            </w:hyperlink>
          </w:p>
        </w:tc>
      </w:tr>
      <w:tr w:rsidR="37E1947E" w14:paraId="64AF1C3B" w14:textId="77777777" w:rsidTr="37E1947E">
        <w:trPr>
          <w:trHeight w:val="28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D759013" w14:textId="7B6860B1" w:rsidR="37E1947E" w:rsidRDefault="37E1947E" w:rsidP="37E1947E">
            <w:pPr>
              <w:jc w:val="center"/>
            </w:pPr>
            <w:r w:rsidRPr="37E1947E">
              <w:rPr>
                <w:rFonts w:ascii="Calibri" w:eastAsia="Calibri" w:hAnsi="Calibri" w:cs="Calibri"/>
                <w:b/>
                <w:bCs/>
              </w:rPr>
              <w:t>2b</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D447FE8" w14:textId="7AA39287" w:rsidR="37E1947E" w:rsidRDefault="37E1947E" w:rsidP="37E1947E">
            <w:r w:rsidRPr="37E1947E">
              <w:rPr>
                <w:rFonts w:ascii="Calibri" w:eastAsia="Calibri" w:hAnsi="Calibri" w:cs="Calibri"/>
              </w:rPr>
              <w:t xml:space="preserve">Instructor Workload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FBD95B8" w14:textId="2D0A1DC6" w:rsidR="37E1947E" w:rsidRDefault="37E1947E" w:rsidP="37E1947E">
            <w:hyperlink r:id="rId17">
              <w:r w:rsidRPr="37E1947E">
                <w:rPr>
                  <w:rStyle w:val="Hyperlink"/>
                  <w:rFonts w:ascii="Calibri" w:eastAsia="Calibri" w:hAnsi="Calibri" w:cs="Calibri"/>
                  <w:color w:val="0563C1"/>
                </w:rPr>
                <w:t>Student Success &gt; Priority Metrics</w:t>
              </w:r>
            </w:hyperlink>
            <w:r w:rsidRPr="37E1947E">
              <w:rPr>
                <w:rFonts w:ascii="Calibri" w:eastAsia="Calibri" w:hAnsi="Calibri" w:cs="Calibri"/>
              </w:rPr>
              <w:t xml:space="preserve"> &gt; Instructional SCH Details</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C6E68D2" w14:textId="55EA00B9" w:rsidR="37E1947E" w:rsidRDefault="37E1947E" w:rsidP="37E1947E">
            <w:pPr>
              <w:rPr>
                <w:rFonts w:ascii="Aptos" w:eastAsia="Aptos" w:hAnsi="Aptos" w:cs="Aptos"/>
              </w:rPr>
            </w:pPr>
            <w:r w:rsidRPr="37E1947E">
              <w:rPr>
                <w:rFonts w:ascii="Aptos" w:eastAsia="Aptos" w:hAnsi="Aptos" w:cs="Aptos"/>
              </w:rPr>
              <w:t xml:space="preserve"> </w:t>
            </w:r>
            <w:r w:rsidR="00BEB6BC" w:rsidRPr="37E1947E">
              <w:rPr>
                <w:rFonts w:ascii="Aptos" w:eastAsia="Aptos" w:hAnsi="Aptos" w:cs="Aptos"/>
              </w:rPr>
              <w:t>See below for Strategic Alignment/OAC dashboards</w:t>
            </w:r>
          </w:p>
        </w:tc>
      </w:tr>
      <w:tr w:rsidR="37E1947E" w14:paraId="2BD99771" w14:textId="77777777" w:rsidTr="37E1947E">
        <w:trPr>
          <w:trHeight w:val="28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AB2DC20" w14:textId="7DD8471D" w:rsidR="37E1947E" w:rsidRDefault="37E1947E" w:rsidP="37E1947E">
            <w:pPr>
              <w:jc w:val="center"/>
            </w:pPr>
            <w:r w:rsidRPr="37E1947E">
              <w:rPr>
                <w:rFonts w:ascii="Calibri" w:eastAsia="Calibri" w:hAnsi="Calibri" w:cs="Calibri"/>
                <w:b/>
                <w:bCs/>
              </w:rPr>
              <w:t>2d</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36EA1C1" w14:textId="7F451583" w:rsidR="37E1947E" w:rsidRDefault="37E1947E" w:rsidP="37E1947E">
            <w:r w:rsidRPr="37E1947E">
              <w:rPr>
                <w:rFonts w:ascii="Calibri" w:eastAsia="Calibri" w:hAnsi="Calibri" w:cs="Calibri"/>
              </w:rPr>
              <w:t>Opportunity Groups of KU Faculty, Staff, and Student Employees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EAFD995" w14:textId="4856D662" w:rsidR="37E1947E" w:rsidRDefault="37E1947E" w:rsidP="37E1947E">
            <w:hyperlink r:id="rId18">
              <w:r w:rsidRPr="37E1947E">
                <w:rPr>
                  <w:rStyle w:val="Hyperlink"/>
                  <w:rFonts w:ascii="Calibri" w:eastAsia="Calibri" w:hAnsi="Calibri" w:cs="Calibri"/>
                  <w:color w:val="0563C1"/>
                </w:rPr>
                <w:t>Healthy &amp; Vibrant Communities &gt; Priority Metrics</w:t>
              </w:r>
            </w:hyperlink>
            <w:r w:rsidRPr="37E1947E">
              <w:rPr>
                <w:rFonts w:ascii="Calibri" w:eastAsia="Calibri" w:hAnsi="Calibri" w:cs="Calibri"/>
              </w:rPr>
              <w:t xml:space="preserve"> &gt; Opportunity Groups of KU Faculty, Staff, and Student Employees</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121DF90" w14:textId="2ABFDAF8" w:rsidR="37E1947E" w:rsidRDefault="37E1947E" w:rsidP="37E1947E">
            <w:pPr>
              <w:rPr>
                <w:rFonts w:ascii="Aptos" w:eastAsia="Aptos" w:hAnsi="Aptos" w:cs="Aptos"/>
              </w:rPr>
            </w:pPr>
            <w:r w:rsidRPr="37E1947E">
              <w:rPr>
                <w:rFonts w:ascii="Aptos" w:eastAsia="Aptos" w:hAnsi="Aptos" w:cs="Aptos"/>
              </w:rPr>
              <w:t xml:space="preserve"> </w:t>
            </w:r>
            <w:r w:rsidR="38AE41FD" w:rsidRPr="37E1947E">
              <w:rPr>
                <w:rFonts w:ascii="Aptos" w:eastAsia="Aptos" w:hAnsi="Aptos" w:cs="Aptos"/>
              </w:rPr>
              <w:t>See below for Strategic Alignment/OAC dashboards</w:t>
            </w:r>
          </w:p>
        </w:tc>
      </w:tr>
      <w:tr w:rsidR="37E1947E" w14:paraId="11C3739B" w14:textId="77777777" w:rsidTr="37E1947E">
        <w:trPr>
          <w:trHeight w:val="28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A736A3B" w14:textId="396CE08F" w:rsidR="37E1947E" w:rsidRDefault="37E1947E" w:rsidP="37E1947E">
            <w:pPr>
              <w:jc w:val="center"/>
            </w:pPr>
            <w:r w:rsidRPr="37E1947E">
              <w:rPr>
                <w:rFonts w:ascii="Calibri" w:eastAsia="Calibri" w:hAnsi="Calibri" w:cs="Calibri"/>
                <w:b/>
                <w:bCs/>
              </w:rPr>
              <w:t>3c</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8DF0ED8" w14:textId="0D345544" w:rsidR="37E1947E" w:rsidRDefault="37E1947E" w:rsidP="37E1947E">
            <w:r w:rsidRPr="37E1947E">
              <w:rPr>
                <w:rFonts w:ascii="Calibri" w:eastAsia="Calibri" w:hAnsi="Calibri" w:cs="Calibri"/>
              </w:rPr>
              <w:t xml:space="preserve">DFW rates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E9C69DC" w14:textId="2BDDE31F" w:rsidR="37E1947E" w:rsidRDefault="37E1947E" w:rsidP="37E1947E">
            <w:hyperlink r:id="rId19">
              <w:r w:rsidRPr="37E1947E">
                <w:rPr>
                  <w:rStyle w:val="Hyperlink"/>
                  <w:rFonts w:ascii="Calibri" w:eastAsia="Calibri" w:hAnsi="Calibri" w:cs="Calibri"/>
                  <w:color w:val="0563C1"/>
                </w:rPr>
                <w:t>Student Success &gt; DFW Rates by Term</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E56C580" w14:textId="25648CAD" w:rsidR="425B46BB" w:rsidRDefault="425B46BB" w:rsidP="37E1947E">
            <w:pPr>
              <w:rPr>
                <w:rFonts w:ascii="Aptos" w:eastAsia="Aptos" w:hAnsi="Aptos" w:cs="Aptos"/>
              </w:rPr>
            </w:pPr>
            <w:r w:rsidRPr="37E1947E">
              <w:rPr>
                <w:rFonts w:ascii="Aptos" w:eastAsia="Aptos" w:hAnsi="Aptos" w:cs="Aptos"/>
              </w:rPr>
              <w:t>See below for Strategic Alignment/OAC dashboards</w:t>
            </w:r>
          </w:p>
          <w:p w14:paraId="0F7F5B58" w14:textId="2D57DE7A" w:rsidR="37E1947E" w:rsidRDefault="37E1947E" w:rsidP="37E1947E">
            <w:pPr>
              <w:rPr>
                <w:rFonts w:ascii="Aptos" w:eastAsia="Aptos" w:hAnsi="Aptos" w:cs="Aptos"/>
              </w:rPr>
            </w:pPr>
          </w:p>
          <w:p w14:paraId="63B468D4" w14:textId="6CBB3E08" w:rsidR="37E1947E" w:rsidRDefault="37E1947E" w:rsidP="37E1947E">
            <w:pPr>
              <w:rPr>
                <w:rFonts w:ascii="Aptos" w:eastAsia="Aptos" w:hAnsi="Aptos" w:cs="Aptos"/>
              </w:rPr>
            </w:pPr>
          </w:p>
        </w:tc>
      </w:tr>
      <w:tr w:rsidR="37E1947E" w14:paraId="29D08B88" w14:textId="77777777" w:rsidTr="37E1947E">
        <w:trPr>
          <w:trHeight w:val="450"/>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49FEAE7" w14:textId="7C1A91BD"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8002BD1" w14:textId="080BE318" w:rsidR="37E1947E" w:rsidRDefault="37E1947E" w:rsidP="37E1947E">
            <w:pPr>
              <w:spacing w:after="160" w:line="257" w:lineRule="auto"/>
            </w:pPr>
            <w:r w:rsidRPr="37E1947E">
              <w:rPr>
                <w:rFonts w:ascii="Calibri" w:eastAsia="Calibri" w:hAnsi="Calibri" w:cs="Calibri"/>
              </w:rPr>
              <w:t>Time to Degree</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EE552A5" w14:textId="20F7B887" w:rsidR="37E1947E" w:rsidRDefault="37E1947E" w:rsidP="37E1947E">
            <w:hyperlink r:id="rId20">
              <w:r w:rsidRPr="37E1947E">
                <w:rPr>
                  <w:rStyle w:val="Hyperlink"/>
                  <w:rFonts w:ascii="Calibri" w:eastAsia="Calibri" w:hAnsi="Calibri" w:cs="Calibri"/>
                  <w:color w:val="0563C1"/>
                </w:rPr>
                <w:t>Student Success &gt; Time to Degree</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2B5D507" w14:textId="00D6CB29" w:rsidR="6C76CBDC" w:rsidRDefault="6C76CBDC" w:rsidP="37E1947E">
            <w:pPr>
              <w:rPr>
                <w:rFonts w:ascii="Aptos" w:eastAsia="Aptos" w:hAnsi="Aptos" w:cs="Aptos"/>
              </w:rPr>
            </w:pPr>
            <w:r w:rsidRPr="37E1947E">
              <w:rPr>
                <w:rFonts w:ascii="Aptos" w:eastAsia="Aptos" w:hAnsi="Aptos" w:cs="Aptos"/>
              </w:rPr>
              <w:t xml:space="preserve">See below for Strategic </w:t>
            </w:r>
            <w:r w:rsidRPr="37E1947E">
              <w:rPr>
                <w:rFonts w:ascii="Aptos" w:eastAsia="Aptos" w:hAnsi="Aptos" w:cs="Aptos"/>
              </w:rPr>
              <w:lastRenderedPageBreak/>
              <w:t>Alignment/OAC dashboards</w:t>
            </w:r>
          </w:p>
          <w:p w14:paraId="25010B88" w14:textId="2D57DE7A" w:rsidR="37E1947E" w:rsidRDefault="37E1947E" w:rsidP="37E1947E">
            <w:pPr>
              <w:rPr>
                <w:rFonts w:ascii="Aptos" w:eastAsia="Aptos" w:hAnsi="Aptos" w:cs="Aptos"/>
              </w:rPr>
            </w:pPr>
          </w:p>
          <w:p w14:paraId="0BE8F39B" w14:textId="1EFC2F14" w:rsidR="37E1947E" w:rsidRDefault="37E1947E" w:rsidP="37E1947E">
            <w:pPr>
              <w:rPr>
                <w:rFonts w:ascii="Aptos" w:eastAsia="Aptos" w:hAnsi="Aptos" w:cs="Aptos"/>
              </w:rPr>
            </w:pPr>
          </w:p>
        </w:tc>
      </w:tr>
      <w:tr w:rsidR="37E1947E" w14:paraId="1349BFF9"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C2302D0" w14:textId="3B68FD87" w:rsidR="37E1947E" w:rsidRDefault="37E1947E" w:rsidP="37E1947E">
            <w:r w:rsidRPr="37E1947E">
              <w:rPr>
                <w:rFonts w:ascii="Calibri" w:eastAsia="Calibri" w:hAnsi="Calibri" w:cs="Calibri"/>
              </w:rPr>
              <w:lastRenderedPageBreak/>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F8BA7B5" w14:textId="206E92B3" w:rsidR="37E1947E" w:rsidRDefault="37E1947E" w:rsidP="37E1947E">
            <w:r w:rsidRPr="37E1947E">
              <w:rPr>
                <w:rFonts w:ascii="Calibri" w:eastAsia="Calibri" w:hAnsi="Calibri" w:cs="Calibri"/>
              </w:rPr>
              <w:t>Pre-Post Oral Comp Time to Degree</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73A775C" w14:textId="08F76EFF" w:rsidR="37E1947E" w:rsidRDefault="37E1947E" w:rsidP="37E1947E">
            <w:hyperlink r:id="rId21">
              <w:r w:rsidRPr="37E1947E">
                <w:rPr>
                  <w:rStyle w:val="Hyperlink"/>
                  <w:rFonts w:ascii="Calibri" w:eastAsia="Calibri" w:hAnsi="Calibri" w:cs="Calibri"/>
                  <w:color w:val="0563C1"/>
                </w:rPr>
                <w:t>Tableau Visual Analytics&gt;Graduate Studies&gt;Doctoral Time to Degree&gt;</w:t>
              </w:r>
              <w:proofErr w:type="spellStart"/>
              <w:r w:rsidRPr="37E1947E">
                <w:rPr>
                  <w:rStyle w:val="Hyperlink"/>
                  <w:rFonts w:ascii="Calibri" w:eastAsia="Calibri" w:hAnsi="Calibri" w:cs="Calibri"/>
                  <w:color w:val="0563C1"/>
                </w:rPr>
                <w:t>PrePost</w:t>
              </w:r>
              <w:proofErr w:type="spellEnd"/>
              <w:r w:rsidRPr="37E1947E">
                <w:rPr>
                  <w:rStyle w:val="Hyperlink"/>
                  <w:rFonts w:ascii="Calibri" w:eastAsia="Calibri" w:hAnsi="Calibri" w:cs="Calibri"/>
                  <w:color w:val="0563C1"/>
                </w:rPr>
                <w:t xml:space="preserve"> OC TTD</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41E2AFA" w14:textId="52B72952" w:rsidR="37E1947E" w:rsidRDefault="37E1947E" w:rsidP="37E1947E">
            <w:hyperlink r:id="rId22">
              <w:r w:rsidRPr="37E1947E">
                <w:rPr>
                  <w:rStyle w:val="Hyperlink"/>
                  <w:rFonts w:ascii="Aptos" w:eastAsia="Aptos" w:hAnsi="Aptos" w:cs="Aptos"/>
                  <w:color w:val="0563C1"/>
                </w:rPr>
                <w:t>Doctoral TTD</w:t>
              </w:r>
            </w:hyperlink>
          </w:p>
        </w:tc>
      </w:tr>
      <w:tr w:rsidR="37E1947E" w14:paraId="4B2A994F"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0EF20D63" w14:textId="79F42D51"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542BB69" w14:textId="56C3BCD6" w:rsidR="37E1947E" w:rsidRDefault="37E1947E" w:rsidP="37E1947E">
            <w:r w:rsidRPr="37E1947E">
              <w:rPr>
                <w:rFonts w:ascii="Calibri" w:eastAsia="Calibri" w:hAnsi="Calibri" w:cs="Calibri"/>
              </w:rPr>
              <w:t>GSES – Degree Progress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DBE6EE9" w14:textId="671318B0" w:rsidR="37E1947E" w:rsidRDefault="37E1947E" w:rsidP="37E1947E">
            <w:hyperlink r:id="rId23" w:anchor="/workbooks/2188?:origin=card_share_link">
              <w:r w:rsidRPr="37E1947E">
                <w:rPr>
                  <w:rStyle w:val="Hyperlink"/>
                  <w:rFonts w:ascii="Calibri" w:eastAsia="Calibri" w:hAnsi="Calibri" w:cs="Calibri"/>
                  <w:color w:val="0563C1"/>
                </w:rPr>
                <w:t>Tableau Visual Analytics&gt;Surveys&gt;GSES 2022</w:t>
              </w:r>
            </w:hyperlink>
          </w:p>
          <w:p w14:paraId="3FF027C1" w14:textId="0D6658B2" w:rsidR="37E1947E" w:rsidRDefault="37E1947E" w:rsidP="37E1947E">
            <w:r w:rsidRPr="37E1947E">
              <w:rPr>
                <w:rFonts w:ascii="Calibri" w:eastAsia="Calibri" w:hAnsi="Calibri" w:cs="Calibri"/>
              </w:rPr>
              <w:t xml:space="preserve"> </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49E9957" w14:textId="37C67E2C" w:rsidR="37E1947E" w:rsidRDefault="37E1947E" w:rsidP="37E1947E">
            <w:hyperlink r:id="rId24">
              <w:r w:rsidRPr="37E1947E">
                <w:rPr>
                  <w:rStyle w:val="Hyperlink"/>
                  <w:rFonts w:ascii="Aptos" w:eastAsia="Aptos" w:hAnsi="Aptos" w:cs="Aptos"/>
                  <w:color w:val="0563C1"/>
                </w:rPr>
                <w:t>GSES</w:t>
              </w:r>
            </w:hyperlink>
          </w:p>
          <w:p w14:paraId="7D4E8203" w14:textId="033EEEBF" w:rsidR="37E1947E" w:rsidRDefault="37E1947E" w:rsidP="37E1947E">
            <w:r w:rsidRPr="37E1947E">
              <w:rPr>
                <w:rFonts w:ascii="Aptos" w:eastAsia="Aptos" w:hAnsi="Aptos" w:cs="Aptos"/>
              </w:rPr>
              <w:t xml:space="preserve"> </w:t>
            </w:r>
          </w:p>
        </w:tc>
      </w:tr>
      <w:tr w:rsidR="37E1947E" w14:paraId="11913B3D"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E281328" w14:textId="7C3F3EB9" w:rsidR="37E1947E" w:rsidRDefault="37E1947E" w:rsidP="37E1947E">
            <w:pPr>
              <w:jc w:val="center"/>
            </w:pPr>
            <w:r w:rsidRPr="37E1947E">
              <w:rPr>
                <w:rFonts w:ascii="Calibri" w:eastAsia="Calibri" w:hAnsi="Calibri" w:cs="Calibri"/>
                <w:b/>
                <w:bCs/>
              </w:rPr>
              <w:t>3e</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AD0E8AF" w14:textId="3B926D71" w:rsidR="37E1947E" w:rsidRDefault="37E1947E" w:rsidP="37E1947E">
            <w:r w:rsidRPr="37E1947E">
              <w:rPr>
                <w:rFonts w:ascii="Calibri" w:eastAsia="Calibri" w:hAnsi="Calibri" w:cs="Calibri"/>
              </w:rPr>
              <w:t>GSES – Research, Ethical Conduct, Additional Training, Lab &amp; Fieldwork Experiences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04EB3412" w14:textId="5B52DA75" w:rsidR="37E1947E" w:rsidRDefault="37E1947E" w:rsidP="37E1947E">
            <w:hyperlink r:id="rId25" w:anchor="/workbooks/2188?:origin=card_share_link">
              <w:r w:rsidRPr="37E1947E">
                <w:rPr>
                  <w:rStyle w:val="Hyperlink"/>
                  <w:rFonts w:ascii="Calibri" w:eastAsia="Calibri" w:hAnsi="Calibri" w:cs="Calibri"/>
                  <w:color w:val="0563C1"/>
                </w:rPr>
                <w:t>Tableau Visual Analytics&gt;Surveys&gt;GSES 2022</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4166615" w14:textId="5B209276" w:rsidR="37E1947E" w:rsidRDefault="37E1947E" w:rsidP="37E1947E">
            <w:hyperlink r:id="rId26">
              <w:r w:rsidRPr="37E1947E">
                <w:rPr>
                  <w:rStyle w:val="Hyperlink"/>
                  <w:rFonts w:ascii="Aptos" w:eastAsia="Aptos" w:hAnsi="Aptos" w:cs="Aptos"/>
                  <w:color w:val="0563C1"/>
                </w:rPr>
                <w:t>GSES</w:t>
              </w:r>
            </w:hyperlink>
          </w:p>
          <w:p w14:paraId="3B927473" w14:textId="2834B4D7" w:rsidR="37E1947E" w:rsidRDefault="37E1947E" w:rsidP="37E1947E">
            <w:r w:rsidRPr="37E1947E">
              <w:rPr>
                <w:rFonts w:ascii="Aptos" w:eastAsia="Aptos" w:hAnsi="Aptos" w:cs="Aptos"/>
              </w:rPr>
              <w:t xml:space="preserve"> </w:t>
            </w:r>
          </w:p>
        </w:tc>
      </w:tr>
      <w:tr w:rsidR="37E1947E" w14:paraId="461937FF"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573573B" w14:textId="059CEFFB"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16868B8" w14:textId="106FE9E2" w:rsidR="37E1947E" w:rsidRDefault="37E1947E" w:rsidP="37E1947E">
            <w:r w:rsidRPr="37E1947E">
              <w:rPr>
                <w:rFonts w:ascii="Calibri" w:eastAsia="Calibri" w:hAnsi="Calibri" w:cs="Calibri"/>
              </w:rPr>
              <w:t>NSSE – Effective Teaching Practices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85D6815" w14:textId="6EFE9B35" w:rsidR="37E1947E" w:rsidRDefault="37E1947E" w:rsidP="37E1947E">
            <w:hyperlink r:id="rId27">
              <w:r w:rsidRPr="37E1947E">
                <w:rPr>
                  <w:rStyle w:val="Hyperlink"/>
                  <w:rFonts w:ascii="Calibri" w:eastAsia="Calibri" w:hAnsi="Calibri" w:cs="Calibri"/>
                  <w:color w:val="0563C1"/>
                </w:rPr>
                <w:t>Tableau Visual Analytics&gt;Survey&gt;NSSE 2024</w:t>
              </w:r>
            </w:hyperlink>
          </w:p>
          <w:p w14:paraId="5594892A" w14:textId="343172E4" w:rsidR="37E1947E" w:rsidRDefault="37E1947E" w:rsidP="37E1947E">
            <w:r w:rsidRPr="37E1947E">
              <w:rPr>
                <w:rFonts w:ascii="Aptos" w:eastAsia="Aptos" w:hAnsi="Aptos" w:cs="Aptos"/>
              </w:rPr>
              <w:t xml:space="preserve"> </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C3C0E5D" w14:textId="342BB248" w:rsidR="37E1947E" w:rsidRDefault="37E1947E" w:rsidP="37E1947E">
            <w:hyperlink r:id="rId28">
              <w:r w:rsidRPr="37E1947E">
                <w:rPr>
                  <w:rStyle w:val="Hyperlink"/>
                  <w:rFonts w:ascii="Aptos" w:eastAsia="Aptos" w:hAnsi="Aptos" w:cs="Aptos"/>
                  <w:color w:val="0563C1"/>
                </w:rPr>
                <w:t>NSSE</w:t>
              </w:r>
            </w:hyperlink>
          </w:p>
        </w:tc>
      </w:tr>
      <w:tr w:rsidR="37E1947E" w14:paraId="3503E2FF"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5601FE8" w14:textId="33B03197" w:rsidR="37E1947E" w:rsidRDefault="37E1947E" w:rsidP="37E1947E">
            <w:pPr>
              <w:jc w:val="center"/>
            </w:pPr>
            <w:r w:rsidRPr="37E1947E">
              <w:rPr>
                <w:rFonts w:ascii="Calibri" w:eastAsia="Calibri" w:hAnsi="Calibri" w:cs="Calibri"/>
                <w:b/>
                <w:bCs/>
              </w:rPr>
              <w:t>3f</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AA96637" w14:textId="2988B5B9" w:rsidR="37E1947E" w:rsidRDefault="37E1947E" w:rsidP="37E1947E">
            <w:r w:rsidRPr="37E1947E">
              <w:rPr>
                <w:rFonts w:ascii="Calibri" w:eastAsia="Calibri" w:hAnsi="Calibri" w:cs="Calibri"/>
              </w:rPr>
              <w:t>NSSE – Perceived Gains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F364809" w14:textId="0E9B8B89" w:rsidR="37E1947E" w:rsidRDefault="37E1947E" w:rsidP="37E1947E">
            <w:hyperlink r:id="rId29">
              <w:r w:rsidRPr="37E1947E">
                <w:rPr>
                  <w:rStyle w:val="Hyperlink"/>
                  <w:rFonts w:ascii="Calibri" w:eastAsia="Calibri" w:hAnsi="Calibri" w:cs="Calibri"/>
                  <w:color w:val="0563C1"/>
                </w:rPr>
                <w:t>Tableau Visual Analytics&gt;Survey&gt;NSSE 2024</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704F693" w14:textId="4E05A2C6" w:rsidR="37E1947E" w:rsidRDefault="37E1947E" w:rsidP="37E1947E">
            <w:hyperlink r:id="rId30">
              <w:r w:rsidRPr="37E1947E">
                <w:rPr>
                  <w:rStyle w:val="Hyperlink"/>
                  <w:rFonts w:ascii="Aptos" w:eastAsia="Aptos" w:hAnsi="Aptos" w:cs="Aptos"/>
                  <w:color w:val="0563C1"/>
                </w:rPr>
                <w:t>NSSE</w:t>
              </w:r>
            </w:hyperlink>
          </w:p>
        </w:tc>
      </w:tr>
      <w:tr w:rsidR="37E1947E" w14:paraId="600ACE0A"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19D7751" w14:textId="69C8F78B"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D94ED00" w14:textId="2EE726D5" w:rsidR="37E1947E" w:rsidRDefault="37E1947E" w:rsidP="37E1947E">
            <w:r w:rsidRPr="37E1947E">
              <w:rPr>
                <w:rFonts w:ascii="Calibri" w:eastAsia="Calibri" w:hAnsi="Calibri" w:cs="Calibri"/>
              </w:rPr>
              <w:t>Alumni Outcomes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842AF31" w14:textId="0E6443C2" w:rsidR="37E1947E" w:rsidRDefault="37E1947E" w:rsidP="37E1947E">
            <w:hyperlink r:id="rId31" w:anchor="/workbooks/2182?:origin=card_share_link">
              <w:r w:rsidRPr="37E1947E">
                <w:rPr>
                  <w:rStyle w:val="Hyperlink"/>
                  <w:rFonts w:ascii="Calibri" w:eastAsia="Calibri" w:hAnsi="Calibri" w:cs="Calibri"/>
                  <w:color w:val="0563C1"/>
                </w:rPr>
                <w:t>Tableau Visual Analytics&gt;Employment/Destination Data/Alumni Outcomes</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3AC6CC5" w14:textId="7D201ECB" w:rsidR="37E1947E" w:rsidRDefault="37E1947E" w:rsidP="37E1947E">
            <w:hyperlink r:id="rId32">
              <w:r w:rsidRPr="37E1947E">
                <w:rPr>
                  <w:rStyle w:val="Hyperlink"/>
                  <w:rFonts w:ascii="Aptos" w:eastAsia="Aptos" w:hAnsi="Aptos" w:cs="Aptos"/>
                  <w:color w:val="0563C1"/>
                </w:rPr>
                <w:t>Alumni Outcomes</w:t>
              </w:r>
            </w:hyperlink>
          </w:p>
          <w:p w14:paraId="735C94CD" w14:textId="6D0D3FF0" w:rsidR="37E1947E" w:rsidRDefault="37E1947E" w:rsidP="37E1947E">
            <w:r w:rsidRPr="37E1947E">
              <w:rPr>
                <w:rFonts w:ascii="Aptos" w:eastAsia="Aptos" w:hAnsi="Aptos" w:cs="Aptos"/>
              </w:rPr>
              <w:t xml:space="preserve"> </w:t>
            </w:r>
          </w:p>
        </w:tc>
      </w:tr>
      <w:tr w:rsidR="37E1947E" w14:paraId="0A7128C3"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2CB96CB" w14:textId="010B2C23"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4CC42F2" w14:textId="69D5B015" w:rsidR="37E1947E" w:rsidRDefault="37E1947E" w:rsidP="37E1947E">
            <w:r w:rsidRPr="37E1947E">
              <w:rPr>
                <w:rFonts w:ascii="Calibri" w:eastAsia="Calibri" w:hAnsi="Calibri" w:cs="Calibri"/>
              </w:rPr>
              <w:t>NSSE – Effective Teaching Practices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D40BCEF" w14:textId="75E38B80" w:rsidR="37E1947E" w:rsidRDefault="37E1947E" w:rsidP="37E1947E">
            <w:hyperlink r:id="rId33">
              <w:r w:rsidRPr="37E1947E">
                <w:rPr>
                  <w:rStyle w:val="Hyperlink"/>
                  <w:rFonts w:ascii="Calibri" w:eastAsia="Calibri" w:hAnsi="Calibri" w:cs="Calibri"/>
                  <w:color w:val="0563C1"/>
                </w:rPr>
                <w:t>Tableau Visual Analytics&gt;Survey&gt;NSSE 2024</w:t>
              </w:r>
            </w:hyperlink>
          </w:p>
          <w:p w14:paraId="467C5EF5" w14:textId="13C977A0" w:rsidR="37E1947E" w:rsidRDefault="37E1947E" w:rsidP="37E1947E">
            <w:r w:rsidRPr="37E1947E">
              <w:rPr>
                <w:rFonts w:ascii="Aptos" w:eastAsia="Aptos" w:hAnsi="Aptos" w:cs="Aptos"/>
              </w:rPr>
              <w:t xml:space="preserve"> </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3B1C4F9" w14:textId="4AF154C8" w:rsidR="37E1947E" w:rsidRDefault="37E1947E" w:rsidP="37E1947E">
            <w:hyperlink r:id="rId34">
              <w:r w:rsidRPr="37E1947E">
                <w:rPr>
                  <w:rStyle w:val="Hyperlink"/>
                  <w:rFonts w:ascii="Aptos" w:eastAsia="Aptos" w:hAnsi="Aptos" w:cs="Aptos"/>
                  <w:color w:val="0563C1"/>
                </w:rPr>
                <w:t>NSSE</w:t>
              </w:r>
            </w:hyperlink>
          </w:p>
        </w:tc>
      </w:tr>
      <w:tr w:rsidR="37E1947E" w14:paraId="1C44E1E5"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97A31E6" w14:textId="4426B466"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E05E608" w14:textId="7DF74BB6" w:rsidR="37E1947E" w:rsidRDefault="37E1947E" w:rsidP="37E1947E">
            <w:r w:rsidRPr="37E1947E">
              <w:rPr>
                <w:rFonts w:ascii="Calibri" w:eastAsia="Calibri" w:hAnsi="Calibri" w:cs="Calibri"/>
              </w:rPr>
              <w:t>GSES – Research, Ethical Conduct, Additional Training, Lab &amp; Fieldwork Experiences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086246FF" w14:textId="5A967D6D" w:rsidR="37E1947E" w:rsidRDefault="37E1947E" w:rsidP="37E1947E">
            <w:hyperlink r:id="rId35" w:anchor="/workbooks/2188?:origin=card_share_link">
              <w:r w:rsidRPr="37E1947E">
                <w:rPr>
                  <w:rStyle w:val="Hyperlink"/>
                  <w:rFonts w:ascii="Calibri" w:eastAsia="Calibri" w:hAnsi="Calibri" w:cs="Calibri"/>
                  <w:color w:val="0563C1"/>
                </w:rPr>
                <w:t>Tableau Visual Analytics&gt;Surveys&gt;GSES 2022</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0084BBF1" w14:textId="4C6F18C6" w:rsidR="37E1947E" w:rsidRDefault="37E1947E" w:rsidP="37E1947E">
            <w:hyperlink r:id="rId36">
              <w:r w:rsidRPr="37E1947E">
                <w:rPr>
                  <w:rStyle w:val="Hyperlink"/>
                  <w:rFonts w:ascii="Aptos" w:eastAsia="Aptos" w:hAnsi="Aptos" w:cs="Aptos"/>
                  <w:color w:val="0563C1"/>
                </w:rPr>
                <w:t>GSES</w:t>
              </w:r>
            </w:hyperlink>
          </w:p>
          <w:p w14:paraId="02C7BA9B" w14:textId="78761FA3" w:rsidR="37E1947E" w:rsidRDefault="37E1947E" w:rsidP="37E1947E">
            <w:r w:rsidRPr="37E1947E">
              <w:rPr>
                <w:rFonts w:ascii="Aptos" w:eastAsia="Aptos" w:hAnsi="Aptos" w:cs="Aptos"/>
              </w:rPr>
              <w:t xml:space="preserve"> </w:t>
            </w:r>
          </w:p>
        </w:tc>
      </w:tr>
      <w:tr w:rsidR="37E1947E" w14:paraId="1B4305DD"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D025D8C" w14:textId="6920ABEE" w:rsidR="37E1947E" w:rsidRDefault="37E1947E" w:rsidP="37E1947E">
            <w:pPr>
              <w:jc w:val="center"/>
            </w:pPr>
            <w:r w:rsidRPr="37E1947E">
              <w:rPr>
                <w:rFonts w:ascii="Calibri" w:eastAsia="Calibri" w:hAnsi="Calibri" w:cs="Calibri"/>
                <w:b/>
                <w:bCs/>
              </w:rPr>
              <w:t>3g</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64BF7B6" w14:textId="651259F8" w:rsidR="37E1947E" w:rsidRDefault="37E1947E" w:rsidP="37E1947E">
            <w:r w:rsidRPr="37E1947E">
              <w:rPr>
                <w:rFonts w:ascii="Calibri" w:eastAsia="Calibri" w:hAnsi="Calibri" w:cs="Calibri"/>
              </w:rPr>
              <w:t>Opportunity Groups of KU Students</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6E94FB6" w14:textId="0B681C7D" w:rsidR="37E1947E" w:rsidRDefault="37E1947E" w:rsidP="37E1947E">
            <w:hyperlink r:id="rId37">
              <w:r w:rsidRPr="37E1947E">
                <w:rPr>
                  <w:rStyle w:val="Hyperlink"/>
                  <w:rFonts w:ascii="Calibri" w:eastAsia="Calibri" w:hAnsi="Calibri" w:cs="Calibri"/>
                  <w:color w:val="0563C1"/>
                </w:rPr>
                <w:t>Healthy &amp; Vibrant Communities &gt; Priority Metrics</w:t>
              </w:r>
            </w:hyperlink>
            <w:r w:rsidRPr="37E1947E">
              <w:rPr>
                <w:rFonts w:ascii="Calibri" w:eastAsia="Calibri" w:hAnsi="Calibri" w:cs="Calibri"/>
              </w:rPr>
              <w:t xml:space="preserve"> &gt;</w:t>
            </w:r>
            <w:r w:rsidRPr="37E1947E">
              <w:rPr>
                <w:rFonts w:ascii="Aptos" w:eastAsia="Aptos" w:hAnsi="Aptos" w:cs="Aptos"/>
              </w:rPr>
              <w:t xml:space="preserve"> </w:t>
            </w:r>
            <w:r w:rsidRPr="37E1947E">
              <w:rPr>
                <w:rFonts w:ascii="Calibri" w:eastAsia="Calibri" w:hAnsi="Calibri" w:cs="Calibri"/>
              </w:rPr>
              <w:t>Opportunity Groups of KU Students</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B0AB10F" w14:textId="0A60C972" w:rsidR="70CE7BBA" w:rsidRDefault="70CE7BBA" w:rsidP="37E1947E">
            <w:pPr>
              <w:rPr>
                <w:rFonts w:ascii="Aptos" w:eastAsia="Aptos" w:hAnsi="Aptos" w:cs="Aptos"/>
              </w:rPr>
            </w:pPr>
            <w:r w:rsidRPr="37E1947E">
              <w:rPr>
                <w:rFonts w:ascii="Aptos" w:eastAsia="Aptos" w:hAnsi="Aptos" w:cs="Aptos"/>
              </w:rPr>
              <w:t>See below for Strategic Alignment/OAC dashboards</w:t>
            </w:r>
          </w:p>
        </w:tc>
      </w:tr>
      <w:tr w:rsidR="37E1947E" w14:paraId="7CDD0AF9"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9E045F1" w14:textId="731F52DA" w:rsidR="37E1947E" w:rsidRDefault="37E1947E" w:rsidP="37E1947E">
            <w:pPr>
              <w:jc w:val="center"/>
            </w:pPr>
            <w:r w:rsidRPr="37E1947E">
              <w:rPr>
                <w:rFonts w:ascii="Calibri" w:eastAsia="Calibri" w:hAnsi="Calibri" w:cs="Calibri"/>
                <w:b/>
                <w:bCs/>
              </w:rPr>
              <w:t>4a</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4767AA0" w14:textId="6822F8DF" w:rsidR="37E1947E" w:rsidRDefault="37E1947E" w:rsidP="37E1947E">
            <w:pPr>
              <w:spacing w:line="257" w:lineRule="auto"/>
            </w:pPr>
            <w:r w:rsidRPr="37E1947E">
              <w:rPr>
                <w:rFonts w:ascii="Calibri" w:eastAsia="Calibri" w:hAnsi="Calibri" w:cs="Calibri"/>
              </w:rPr>
              <w:t xml:space="preserve">Major Enrollment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C862229" w14:textId="18F2FFD7" w:rsidR="37E1947E" w:rsidRDefault="37E1947E" w:rsidP="37E1947E">
            <w:hyperlink r:id="rId38">
              <w:r w:rsidRPr="37E1947E">
                <w:rPr>
                  <w:rStyle w:val="Hyperlink"/>
                  <w:rFonts w:ascii="Calibri" w:eastAsia="Calibri" w:hAnsi="Calibri" w:cs="Calibri"/>
                  <w:color w:val="0563C1"/>
                </w:rPr>
                <w:t>Student Success &gt; Priority Metrics</w:t>
              </w:r>
            </w:hyperlink>
            <w:r w:rsidRPr="37E1947E">
              <w:rPr>
                <w:rFonts w:ascii="Calibri" w:eastAsia="Calibri" w:hAnsi="Calibri" w:cs="Calibri"/>
              </w:rPr>
              <w:t xml:space="preserve"> &gt; Major &amp; Minor Enrollment</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37E88C2" w14:textId="6119578D" w:rsidR="37E1947E" w:rsidRDefault="37E1947E" w:rsidP="37E1947E">
            <w:pPr>
              <w:rPr>
                <w:rFonts w:ascii="Aptos" w:eastAsia="Aptos" w:hAnsi="Aptos" w:cs="Aptos"/>
              </w:rPr>
            </w:pPr>
            <w:r w:rsidRPr="37E1947E">
              <w:rPr>
                <w:rFonts w:ascii="Aptos" w:eastAsia="Aptos" w:hAnsi="Aptos" w:cs="Aptos"/>
              </w:rPr>
              <w:t xml:space="preserve"> </w:t>
            </w:r>
            <w:r w:rsidR="59F46C46" w:rsidRPr="37E1947E">
              <w:rPr>
                <w:rFonts w:ascii="Aptos" w:eastAsia="Aptos" w:hAnsi="Aptos" w:cs="Aptos"/>
              </w:rPr>
              <w:t>See below for Strategic Alignment/OAC dashboards</w:t>
            </w:r>
          </w:p>
        </w:tc>
      </w:tr>
      <w:tr w:rsidR="37E1947E" w14:paraId="10E8FBA3"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385DE21" w14:textId="5D42CC5B"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2ECD54A" w14:textId="126DF6E5" w:rsidR="37E1947E" w:rsidRDefault="37E1947E" w:rsidP="37E1947E">
            <w:r w:rsidRPr="37E1947E">
              <w:rPr>
                <w:rFonts w:ascii="Calibri" w:eastAsia="Calibri" w:hAnsi="Calibri" w:cs="Calibri"/>
              </w:rPr>
              <w:t xml:space="preserve">Undergraduate and Graduate Admit </w:t>
            </w:r>
            <w:proofErr w:type="gramStart"/>
            <w:r w:rsidRPr="37E1947E">
              <w:rPr>
                <w:rFonts w:ascii="Calibri" w:eastAsia="Calibri" w:hAnsi="Calibri" w:cs="Calibri"/>
              </w:rPr>
              <w:t>to Enroll</w:t>
            </w:r>
            <w:proofErr w:type="gramEnd"/>
            <w:r w:rsidRPr="37E1947E">
              <w:rPr>
                <w:rFonts w:ascii="Calibri" w:eastAsia="Calibri" w:hAnsi="Calibri" w:cs="Calibri"/>
              </w:rPr>
              <w:t xml:space="preserve"> Yield</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99F6ABE" w14:textId="53C1E1E6" w:rsidR="37E1947E" w:rsidRDefault="37E1947E" w:rsidP="37E1947E">
            <w:hyperlink r:id="rId39">
              <w:r w:rsidRPr="37E1947E">
                <w:rPr>
                  <w:rStyle w:val="Hyperlink"/>
                  <w:rFonts w:ascii="Calibri" w:eastAsia="Calibri" w:hAnsi="Calibri" w:cs="Calibri"/>
                  <w:color w:val="0563C1"/>
                </w:rPr>
                <w:t>Student Success &gt; Yield Rates</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E5D0FF1" w14:textId="25CA2F5A" w:rsidR="38207279" w:rsidRDefault="38207279" w:rsidP="37E1947E">
            <w:pPr>
              <w:rPr>
                <w:rFonts w:ascii="Aptos" w:eastAsia="Aptos" w:hAnsi="Aptos" w:cs="Aptos"/>
              </w:rPr>
            </w:pPr>
            <w:r w:rsidRPr="37E1947E">
              <w:rPr>
                <w:rFonts w:ascii="Aptos" w:eastAsia="Aptos" w:hAnsi="Aptos" w:cs="Aptos"/>
              </w:rPr>
              <w:t>See below for Strategic Alignment/OAC dashboards</w:t>
            </w:r>
          </w:p>
          <w:p w14:paraId="3C11F4D4" w14:textId="2D57DE7A" w:rsidR="37E1947E" w:rsidRDefault="37E1947E" w:rsidP="37E1947E">
            <w:pPr>
              <w:rPr>
                <w:rFonts w:ascii="Aptos" w:eastAsia="Aptos" w:hAnsi="Aptos" w:cs="Aptos"/>
              </w:rPr>
            </w:pPr>
          </w:p>
          <w:p w14:paraId="238FA088" w14:textId="3AB2DDAD" w:rsidR="37E1947E" w:rsidRDefault="37E1947E" w:rsidP="37E1947E">
            <w:pPr>
              <w:rPr>
                <w:rFonts w:ascii="Aptos" w:eastAsia="Aptos" w:hAnsi="Aptos" w:cs="Aptos"/>
              </w:rPr>
            </w:pPr>
          </w:p>
        </w:tc>
      </w:tr>
      <w:tr w:rsidR="37E1947E" w14:paraId="34870841"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49934F09" w14:textId="33AF862E" w:rsidR="37E1947E" w:rsidRDefault="37E1947E" w:rsidP="37E1947E">
            <w:pPr>
              <w:jc w:val="center"/>
            </w:pPr>
            <w:r w:rsidRPr="37E1947E">
              <w:rPr>
                <w:rFonts w:ascii="Calibri" w:eastAsia="Calibri" w:hAnsi="Calibri" w:cs="Calibri"/>
                <w:b/>
                <w:bCs/>
              </w:rPr>
              <w:t>4b</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6490692" w14:textId="352284D6" w:rsidR="37E1947E" w:rsidRDefault="37E1947E" w:rsidP="37E1947E">
            <w:r w:rsidRPr="37E1947E">
              <w:rPr>
                <w:rFonts w:ascii="Calibri" w:eastAsia="Calibri" w:hAnsi="Calibri" w:cs="Calibri"/>
              </w:rPr>
              <w:t>Retention &amp; Progression</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12C0288" w14:textId="42036E3A" w:rsidR="37E1947E" w:rsidRDefault="37E1947E" w:rsidP="37E1947E">
            <w:hyperlink r:id="rId40">
              <w:r w:rsidRPr="37E1947E">
                <w:rPr>
                  <w:rStyle w:val="Hyperlink"/>
                  <w:rFonts w:ascii="Calibri" w:eastAsia="Calibri" w:hAnsi="Calibri" w:cs="Calibri"/>
                  <w:color w:val="0563C1"/>
                </w:rPr>
                <w:t>Student Success &gt; Priority Metrics</w:t>
              </w:r>
            </w:hyperlink>
            <w:r w:rsidRPr="37E1947E">
              <w:rPr>
                <w:rFonts w:ascii="Calibri" w:eastAsia="Calibri" w:hAnsi="Calibri" w:cs="Calibri"/>
              </w:rPr>
              <w:t xml:space="preserve"> &gt; Retention and Graduation</w:t>
            </w:r>
          </w:p>
          <w:p w14:paraId="127D8E42" w14:textId="04EE335C" w:rsidR="37E1947E" w:rsidRDefault="37E1947E" w:rsidP="37E1947E">
            <w:r w:rsidRPr="37E1947E">
              <w:rPr>
                <w:rFonts w:ascii="Calibri" w:eastAsia="Calibri" w:hAnsi="Calibri" w:cs="Calibri"/>
              </w:rPr>
              <w:t xml:space="preserve"> </w:t>
            </w:r>
          </w:p>
          <w:p w14:paraId="2BF29A96" w14:textId="390DD9F5" w:rsidR="37E1947E" w:rsidRDefault="37E1947E" w:rsidP="37E1947E">
            <w:pPr>
              <w:rPr>
                <w:rFonts w:ascii="Calibri" w:eastAsia="Calibri" w:hAnsi="Calibri" w:cs="Calibri"/>
              </w:rPr>
            </w:pPr>
          </w:p>
          <w:p w14:paraId="4AEBD232" w14:textId="18BD3234" w:rsidR="37E1947E" w:rsidRDefault="37E1947E" w:rsidP="37E1947E">
            <w:pPr>
              <w:rPr>
                <w:rFonts w:ascii="Calibri" w:eastAsia="Calibri" w:hAnsi="Calibri" w:cs="Calibri"/>
              </w:rPr>
            </w:pPr>
          </w:p>
          <w:p w14:paraId="447517D5" w14:textId="690D4FE9" w:rsidR="37E1947E" w:rsidRDefault="37E1947E" w:rsidP="37E1947E">
            <w:pPr>
              <w:rPr>
                <w:rFonts w:ascii="Calibri" w:eastAsia="Calibri" w:hAnsi="Calibri" w:cs="Calibri"/>
              </w:rPr>
            </w:pPr>
          </w:p>
          <w:p w14:paraId="27899AE6" w14:textId="5B121D38" w:rsidR="37E1947E" w:rsidRDefault="37E1947E" w:rsidP="37E1947E">
            <w:hyperlink r:id="rId41">
              <w:r w:rsidRPr="37E1947E">
                <w:rPr>
                  <w:rStyle w:val="Hyperlink"/>
                  <w:rFonts w:ascii="Calibri" w:eastAsia="Calibri" w:hAnsi="Calibri" w:cs="Calibri"/>
                  <w:color w:val="0563C1"/>
                </w:rPr>
                <w:t>Retention and Completion &gt; One-Year Persistence in UG Programs</w:t>
              </w:r>
            </w:hyperlink>
          </w:p>
          <w:p w14:paraId="0231F0BF" w14:textId="30E8781E" w:rsidR="37E1947E" w:rsidRDefault="37E1947E" w:rsidP="37E1947E">
            <w:r w:rsidRPr="37E1947E">
              <w:rPr>
                <w:rFonts w:ascii="Calibri" w:eastAsia="Calibri" w:hAnsi="Calibri" w:cs="Calibri"/>
              </w:rPr>
              <w:t xml:space="preserve"> </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B5B2219" w14:textId="44C7DE1F" w:rsidR="37E1947E" w:rsidRDefault="37E1947E" w:rsidP="37E1947E">
            <w:pPr>
              <w:rPr>
                <w:rFonts w:ascii="Aptos" w:eastAsia="Aptos" w:hAnsi="Aptos" w:cs="Aptos"/>
              </w:rPr>
            </w:pPr>
            <w:r w:rsidRPr="37E1947E">
              <w:rPr>
                <w:rFonts w:ascii="Aptos" w:eastAsia="Aptos" w:hAnsi="Aptos" w:cs="Aptos"/>
              </w:rPr>
              <w:lastRenderedPageBreak/>
              <w:t xml:space="preserve"> </w:t>
            </w:r>
            <w:r w:rsidR="3B7C1E06" w:rsidRPr="37E1947E">
              <w:rPr>
                <w:rFonts w:ascii="Aptos" w:eastAsia="Aptos" w:hAnsi="Aptos" w:cs="Aptos"/>
              </w:rPr>
              <w:t>See below for Strategic Alignment/OAC dashboards</w:t>
            </w:r>
          </w:p>
          <w:p w14:paraId="6CFCA2FE" w14:textId="2D57DE7A" w:rsidR="37E1947E" w:rsidRDefault="37E1947E" w:rsidP="37E1947E">
            <w:pPr>
              <w:rPr>
                <w:rFonts w:ascii="Aptos" w:eastAsia="Aptos" w:hAnsi="Aptos" w:cs="Aptos"/>
              </w:rPr>
            </w:pPr>
          </w:p>
          <w:p w14:paraId="188E5B41" w14:textId="5E2F6FD8" w:rsidR="37E1947E" w:rsidRDefault="37E1947E" w:rsidP="37E1947E">
            <w:pPr>
              <w:rPr>
                <w:rFonts w:ascii="Aptos" w:eastAsia="Aptos" w:hAnsi="Aptos" w:cs="Aptos"/>
              </w:rPr>
            </w:pPr>
          </w:p>
          <w:p w14:paraId="7D309982" w14:textId="675192D7" w:rsidR="37E1947E" w:rsidRDefault="37E1947E" w:rsidP="37E1947E">
            <w:r w:rsidRPr="37E1947E">
              <w:rPr>
                <w:rFonts w:ascii="Aptos" w:eastAsia="Aptos" w:hAnsi="Aptos" w:cs="Aptos"/>
              </w:rPr>
              <w:t xml:space="preserve"> </w:t>
            </w:r>
          </w:p>
          <w:p w14:paraId="03D7BAB4" w14:textId="5131E1DF" w:rsidR="37E1947E" w:rsidRDefault="37E1947E" w:rsidP="37E1947E">
            <w:r w:rsidRPr="37E1947E">
              <w:rPr>
                <w:rFonts w:ascii="Aptos" w:eastAsia="Aptos" w:hAnsi="Aptos" w:cs="Aptos"/>
              </w:rPr>
              <w:t xml:space="preserve"> </w:t>
            </w:r>
            <w:hyperlink r:id="rId42">
              <w:r w:rsidRPr="37E1947E">
                <w:rPr>
                  <w:rStyle w:val="Hyperlink"/>
                  <w:rFonts w:ascii="Aptos" w:eastAsia="Aptos" w:hAnsi="Aptos" w:cs="Aptos"/>
                  <w:color w:val="0563C1"/>
                </w:rPr>
                <w:t>One Year Persistence</w:t>
              </w:r>
            </w:hyperlink>
          </w:p>
          <w:p w14:paraId="0EB51856" w14:textId="4AA25CBC" w:rsidR="37E1947E" w:rsidRDefault="37E1947E" w:rsidP="37E1947E">
            <w:r w:rsidRPr="37E1947E">
              <w:rPr>
                <w:rFonts w:ascii="Aptos" w:eastAsia="Aptos" w:hAnsi="Aptos" w:cs="Aptos"/>
              </w:rPr>
              <w:t xml:space="preserve"> </w:t>
            </w:r>
          </w:p>
        </w:tc>
      </w:tr>
      <w:tr w:rsidR="37E1947E" w14:paraId="060D9E3C"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293F57C" w14:textId="4A926F2A" w:rsidR="37E1947E" w:rsidRDefault="37E1947E" w:rsidP="37E1947E">
            <w:r w:rsidRPr="37E1947E">
              <w:rPr>
                <w:rFonts w:ascii="Calibri" w:eastAsia="Calibri" w:hAnsi="Calibri" w:cs="Calibri"/>
              </w:rPr>
              <w:lastRenderedPageBreak/>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55A7701" w14:textId="4BC84B9A" w:rsidR="37E1947E" w:rsidRDefault="37E1947E" w:rsidP="37E1947E">
            <w:r w:rsidRPr="37E1947E">
              <w:rPr>
                <w:rFonts w:ascii="Calibri" w:eastAsia="Calibri" w:hAnsi="Calibri" w:cs="Calibri"/>
              </w:rPr>
              <w:t xml:space="preserve">Degrees Awarded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328C1F6" w14:textId="7BA3547C" w:rsidR="37E1947E" w:rsidRDefault="37E1947E" w:rsidP="37E1947E">
            <w:hyperlink r:id="rId43">
              <w:r w:rsidRPr="37E1947E">
                <w:rPr>
                  <w:rStyle w:val="Hyperlink"/>
                  <w:rFonts w:ascii="Calibri" w:eastAsia="Calibri" w:hAnsi="Calibri" w:cs="Calibri"/>
                  <w:color w:val="0563C1"/>
                </w:rPr>
                <w:t>Student Success &gt; Priority Metrics</w:t>
              </w:r>
            </w:hyperlink>
            <w:r w:rsidRPr="37E1947E">
              <w:rPr>
                <w:rFonts w:ascii="Calibri" w:eastAsia="Calibri" w:hAnsi="Calibri" w:cs="Calibri"/>
              </w:rPr>
              <w:t xml:space="preserve"> &gt; Degrees Awarded</w:t>
            </w:r>
          </w:p>
          <w:p w14:paraId="4BBD5235" w14:textId="4ABD9D74" w:rsidR="37E1947E" w:rsidRDefault="37E1947E" w:rsidP="37E1947E">
            <w:r w:rsidRPr="37E1947E">
              <w:rPr>
                <w:rFonts w:ascii="Calibri" w:eastAsia="Calibri" w:hAnsi="Calibri" w:cs="Calibri"/>
              </w:rPr>
              <w:t xml:space="preserve"> </w:t>
            </w:r>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FB7F453" w14:textId="01B72CBD" w:rsidR="344DE7A5" w:rsidRDefault="344DE7A5" w:rsidP="37E1947E">
            <w:pPr>
              <w:rPr>
                <w:rFonts w:ascii="Aptos" w:eastAsia="Aptos" w:hAnsi="Aptos" w:cs="Aptos"/>
              </w:rPr>
            </w:pPr>
            <w:r w:rsidRPr="37E1947E">
              <w:rPr>
                <w:rFonts w:ascii="Aptos" w:eastAsia="Aptos" w:hAnsi="Aptos" w:cs="Aptos"/>
              </w:rPr>
              <w:t>See below for Strategic Alignment/OAC dashboards</w:t>
            </w:r>
          </w:p>
        </w:tc>
      </w:tr>
      <w:tr w:rsidR="37E1947E" w14:paraId="3C612132"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13458633" w14:textId="53A2DEFF"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6349C78C" w14:textId="54FE0372" w:rsidR="37E1947E" w:rsidRDefault="37E1947E" w:rsidP="37E1947E">
            <w:r w:rsidRPr="37E1947E">
              <w:rPr>
                <w:rFonts w:ascii="Calibri" w:eastAsia="Calibri" w:hAnsi="Calibri" w:cs="Calibri"/>
              </w:rPr>
              <w:t xml:space="preserve">DFW rates </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893004C" w14:textId="601FB5DF" w:rsidR="37E1947E" w:rsidRDefault="37E1947E" w:rsidP="37E1947E">
            <w:hyperlink r:id="rId44">
              <w:r w:rsidRPr="37E1947E">
                <w:rPr>
                  <w:rStyle w:val="Hyperlink"/>
                  <w:rFonts w:ascii="Calibri" w:eastAsia="Calibri" w:hAnsi="Calibri" w:cs="Calibri"/>
                  <w:color w:val="0563C1"/>
                </w:rPr>
                <w:t>Student Success &gt; DFW Rates by Term</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B6BE23B" w14:textId="18A233A9" w:rsidR="1771506D" w:rsidRDefault="1771506D" w:rsidP="37E1947E">
            <w:pPr>
              <w:rPr>
                <w:rFonts w:ascii="Aptos" w:eastAsia="Aptos" w:hAnsi="Aptos" w:cs="Aptos"/>
              </w:rPr>
            </w:pPr>
            <w:r w:rsidRPr="37E1947E">
              <w:rPr>
                <w:rFonts w:ascii="Aptos" w:eastAsia="Aptos" w:hAnsi="Aptos" w:cs="Aptos"/>
              </w:rPr>
              <w:t>See below for Strategic Alignment/OAC dashboards</w:t>
            </w:r>
          </w:p>
        </w:tc>
      </w:tr>
      <w:tr w:rsidR="37E1947E" w14:paraId="7FA6BE8C" w14:textId="77777777" w:rsidTr="37E1947E">
        <w:trPr>
          <w:trHeight w:val="525"/>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9485627" w14:textId="764D49C6"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01A6A055" w14:textId="359E14E8" w:rsidR="37E1947E" w:rsidRDefault="37E1947E" w:rsidP="37E1947E">
            <w:r w:rsidRPr="37E1947E">
              <w:rPr>
                <w:rFonts w:ascii="Calibri" w:eastAsia="Calibri" w:hAnsi="Calibri" w:cs="Calibri"/>
              </w:rPr>
              <w:t>Time to Degree</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53184992" w14:textId="13006C29" w:rsidR="37E1947E" w:rsidRDefault="37E1947E" w:rsidP="37E1947E">
            <w:hyperlink r:id="rId45">
              <w:r w:rsidRPr="37E1947E">
                <w:rPr>
                  <w:rStyle w:val="Hyperlink"/>
                  <w:rFonts w:ascii="Calibri" w:eastAsia="Calibri" w:hAnsi="Calibri" w:cs="Calibri"/>
                  <w:color w:val="0563C1"/>
                </w:rPr>
                <w:t>Student Success &gt; Time to Degree</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718276DB" w14:textId="54E1E70B" w:rsidR="7B3079F3" w:rsidRDefault="7B3079F3" w:rsidP="37E1947E">
            <w:pPr>
              <w:rPr>
                <w:rFonts w:ascii="Aptos" w:eastAsia="Aptos" w:hAnsi="Aptos" w:cs="Aptos"/>
              </w:rPr>
            </w:pPr>
            <w:r w:rsidRPr="37E1947E">
              <w:rPr>
                <w:rFonts w:ascii="Aptos" w:eastAsia="Aptos" w:hAnsi="Aptos" w:cs="Aptos"/>
              </w:rPr>
              <w:t>See below for Strategic Alignment/OAC dashboards</w:t>
            </w:r>
          </w:p>
        </w:tc>
      </w:tr>
      <w:tr w:rsidR="37E1947E" w14:paraId="18751D5A" w14:textId="77777777" w:rsidTr="37E1947E">
        <w:trPr>
          <w:trHeight w:val="300"/>
        </w:trPr>
        <w:tc>
          <w:tcPr>
            <w:tcW w:w="144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3623308E" w14:textId="59E05960" w:rsidR="37E1947E" w:rsidRDefault="37E1947E" w:rsidP="37E1947E">
            <w:r w:rsidRPr="37E1947E">
              <w:rPr>
                <w:rFonts w:ascii="Calibri" w:eastAsia="Calibri" w:hAnsi="Calibri" w:cs="Calibri"/>
              </w:rPr>
              <w:t xml:space="preserve"> </w:t>
            </w:r>
          </w:p>
        </w:tc>
        <w:tc>
          <w:tcPr>
            <w:tcW w:w="253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092DF527" w14:textId="6B7736C8" w:rsidR="37E1947E" w:rsidRDefault="37E1947E" w:rsidP="37E1947E">
            <w:r w:rsidRPr="37E1947E">
              <w:rPr>
                <w:rFonts w:ascii="Calibri" w:eastAsia="Calibri" w:hAnsi="Calibri" w:cs="Calibri"/>
              </w:rPr>
              <w:t>Pre-Post Oral Comp Time to Degree</w:t>
            </w:r>
          </w:p>
        </w:tc>
        <w:tc>
          <w:tcPr>
            <w:tcW w:w="3900"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4375F3D" w14:textId="2C9268EF" w:rsidR="37E1947E" w:rsidRDefault="37E1947E" w:rsidP="37E1947E">
            <w:hyperlink r:id="rId46">
              <w:r w:rsidRPr="37E1947E">
                <w:rPr>
                  <w:rStyle w:val="Hyperlink"/>
                  <w:rFonts w:ascii="Calibri" w:eastAsia="Calibri" w:hAnsi="Calibri" w:cs="Calibri"/>
                  <w:color w:val="0563C1"/>
                </w:rPr>
                <w:t>Tableau Visual Analytics&gt;Graduate Studies&gt;Doctoral Time to Degree&gt;</w:t>
              </w:r>
              <w:proofErr w:type="spellStart"/>
              <w:r w:rsidRPr="37E1947E">
                <w:rPr>
                  <w:rStyle w:val="Hyperlink"/>
                  <w:rFonts w:ascii="Calibri" w:eastAsia="Calibri" w:hAnsi="Calibri" w:cs="Calibri"/>
                  <w:color w:val="0563C1"/>
                </w:rPr>
                <w:t>PrePost</w:t>
              </w:r>
              <w:proofErr w:type="spellEnd"/>
              <w:r w:rsidRPr="37E1947E">
                <w:rPr>
                  <w:rStyle w:val="Hyperlink"/>
                  <w:rFonts w:ascii="Calibri" w:eastAsia="Calibri" w:hAnsi="Calibri" w:cs="Calibri"/>
                  <w:color w:val="0563C1"/>
                </w:rPr>
                <w:t xml:space="preserve"> OC TTD</w:t>
              </w:r>
            </w:hyperlink>
          </w:p>
        </w:tc>
        <w:tc>
          <w:tcPr>
            <w:tcW w:w="2175" w:type="dxa"/>
            <w:tcBorders>
              <w:top w:val="single" w:sz="12" w:space="0" w:color="003459" w:themeColor="accent5"/>
              <w:left w:val="single" w:sz="12" w:space="0" w:color="003459" w:themeColor="accent5"/>
              <w:bottom w:val="single" w:sz="12" w:space="0" w:color="003459" w:themeColor="accent5"/>
              <w:right w:val="single" w:sz="12" w:space="0" w:color="003459" w:themeColor="accent5"/>
            </w:tcBorders>
            <w:tcMar>
              <w:left w:w="108" w:type="dxa"/>
              <w:right w:w="108" w:type="dxa"/>
            </w:tcMar>
          </w:tcPr>
          <w:p w14:paraId="259E6317" w14:textId="4BE5D46E" w:rsidR="37E1947E" w:rsidRDefault="37E1947E" w:rsidP="37E1947E">
            <w:hyperlink r:id="rId47">
              <w:r w:rsidRPr="37E1947E">
                <w:rPr>
                  <w:rStyle w:val="Hyperlink"/>
                  <w:rFonts w:ascii="Aptos" w:eastAsia="Aptos" w:hAnsi="Aptos" w:cs="Aptos"/>
                  <w:color w:val="0563C1"/>
                </w:rPr>
                <w:t>Doctoral TTD</w:t>
              </w:r>
            </w:hyperlink>
          </w:p>
        </w:tc>
      </w:tr>
    </w:tbl>
    <w:p w14:paraId="6ECE0931" w14:textId="256B0A04" w:rsidR="37E1947E" w:rsidRDefault="37E1947E" w:rsidP="37E1947E">
      <w:pPr>
        <w:rPr>
          <w:rFonts w:ascii="Calibri" w:eastAsia="Calibri" w:hAnsi="Calibri" w:cs="Calibri"/>
          <w:color w:val="000000" w:themeColor="text1"/>
          <w:sz w:val="24"/>
          <w:szCs w:val="24"/>
        </w:rPr>
      </w:pPr>
      <w:r>
        <w:br/>
      </w:r>
      <w:r w:rsidR="2C12952F" w:rsidRPr="37E1947E">
        <w:rPr>
          <w:rFonts w:ascii="Calibri" w:eastAsia="Calibri" w:hAnsi="Calibri" w:cs="Calibri"/>
          <w:b/>
          <w:bCs/>
          <w:color w:val="000000" w:themeColor="text1"/>
          <w:sz w:val="24"/>
          <w:szCs w:val="24"/>
          <w:u w:val="single"/>
        </w:rPr>
        <w:t>Strategic Alignment dashboard in OAC (SA)</w:t>
      </w:r>
    </w:p>
    <w:p w14:paraId="1226C501" w14:textId="3964D55E" w:rsidR="2C12952F" w:rsidRDefault="2C12952F" w:rsidP="37E1947E">
      <w:p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All the links in the Data Crosswalk that start with the words Research &amp; Discovery, Student Success, or Health &amp; Vibrant Communities are links to the SA dashboard.  </w:t>
      </w:r>
      <w:r w:rsidRPr="37E1947E">
        <w:rPr>
          <w:rFonts w:ascii="Calibri" w:eastAsia="Calibri" w:hAnsi="Calibri" w:cs="Calibri"/>
          <w:i/>
          <w:iCs/>
          <w:color w:val="000000" w:themeColor="text1"/>
          <w:sz w:val="24"/>
          <w:szCs w:val="24"/>
        </w:rPr>
        <w:t xml:space="preserve">This dashboard can be very slow to load due to the large volume of data. </w:t>
      </w:r>
      <w:r w:rsidRPr="37E1947E">
        <w:rPr>
          <w:rFonts w:ascii="Calibri" w:eastAsia="Calibri" w:hAnsi="Calibri" w:cs="Calibri"/>
          <w:color w:val="000000" w:themeColor="text1"/>
          <w:sz w:val="24"/>
          <w:szCs w:val="24"/>
        </w:rPr>
        <w:t xml:space="preserve"> Aside from patience with load time, there are two keys to navigating.  </w:t>
      </w:r>
    </w:p>
    <w:p w14:paraId="08AFD593" w14:textId="7DCB34DA" w:rsidR="2C12952F" w:rsidRDefault="2C12952F" w:rsidP="37E1947E">
      <w:p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First, ensure </w:t>
      </w:r>
      <w:r w:rsidRPr="37E1947E">
        <w:rPr>
          <w:rFonts w:ascii="Calibri" w:eastAsia="Calibri" w:hAnsi="Calibri" w:cs="Calibri"/>
          <w:color w:val="000000" w:themeColor="text1"/>
          <w:sz w:val="24"/>
          <w:szCs w:val="24"/>
          <w:u w:val="single"/>
        </w:rPr>
        <w:t>you have selected the relevant department</w:t>
      </w:r>
      <w:r w:rsidRPr="37E1947E">
        <w:rPr>
          <w:rFonts w:ascii="Calibri" w:eastAsia="Calibri" w:hAnsi="Calibri" w:cs="Calibri"/>
          <w:color w:val="000000" w:themeColor="text1"/>
          <w:sz w:val="24"/>
          <w:szCs w:val="24"/>
        </w:rPr>
        <w:t xml:space="preserve">.  There are two places you can do this. </w:t>
      </w:r>
    </w:p>
    <w:p w14:paraId="49810925" w14:textId="601D98AD" w:rsidR="2C12952F" w:rsidRDefault="2C12952F" w:rsidP="37E1947E">
      <w:pPr>
        <w:pStyle w:val="ListParagraph"/>
        <w:numPr>
          <w:ilvl w:val="0"/>
          <w:numId w:val="2"/>
        </w:num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If you navigate to the SA using one of the links from the Data Crosswalk, it will take you directly to the chosen data visualizations.  </w:t>
      </w:r>
      <w:hyperlink r:id="rId48">
        <w:r w:rsidRPr="37E1947E">
          <w:rPr>
            <w:rStyle w:val="Hyperlink"/>
            <w:rFonts w:ascii="Calibri" w:eastAsia="Calibri" w:hAnsi="Calibri" w:cs="Calibri"/>
            <w:sz w:val="24"/>
            <w:szCs w:val="24"/>
          </w:rPr>
          <w:t>Watch this</w:t>
        </w:r>
      </w:hyperlink>
      <w:r w:rsidRPr="37E1947E">
        <w:rPr>
          <w:rFonts w:ascii="Calibri" w:eastAsia="Calibri" w:hAnsi="Calibri" w:cs="Calibri"/>
          <w:color w:val="000000" w:themeColor="text1"/>
          <w:sz w:val="24"/>
          <w:szCs w:val="24"/>
        </w:rPr>
        <w:t xml:space="preserve"> to see how to choose the department when following a direct link.  </w:t>
      </w:r>
    </w:p>
    <w:p w14:paraId="409C20A2" w14:textId="597D89AD" w:rsidR="2C12952F" w:rsidRDefault="2C12952F" w:rsidP="37E1947E">
      <w:pPr>
        <w:pStyle w:val="ListParagraph"/>
        <w:numPr>
          <w:ilvl w:val="0"/>
          <w:numId w:val="2"/>
        </w:num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Another option is to go to the </w:t>
      </w:r>
      <w:hyperlink r:id="rId49">
        <w:r w:rsidRPr="37E1947E">
          <w:rPr>
            <w:rStyle w:val="Hyperlink"/>
            <w:rFonts w:ascii="Calibri" w:eastAsia="Calibri" w:hAnsi="Calibri" w:cs="Calibri"/>
            <w:sz w:val="24"/>
            <w:szCs w:val="24"/>
          </w:rPr>
          <w:t>main OAC page</w:t>
        </w:r>
      </w:hyperlink>
      <w:r w:rsidRPr="37E1947E">
        <w:rPr>
          <w:rFonts w:ascii="Calibri" w:eastAsia="Calibri" w:hAnsi="Calibri" w:cs="Calibri"/>
          <w:color w:val="000000" w:themeColor="text1"/>
          <w:sz w:val="24"/>
          <w:szCs w:val="24"/>
        </w:rPr>
        <w:t xml:space="preserve"> and navigate to the Strategic Alignment dashboard.  You will have to manually navigate to the relevant data sections using the data crosswalk information as a reference.  However, this approach allows you to choose the department only once and that selection will hold across all sections.  </w:t>
      </w:r>
      <w:hyperlink r:id="rId50">
        <w:r w:rsidRPr="37E1947E">
          <w:rPr>
            <w:rStyle w:val="Hyperlink"/>
            <w:rFonts w:ascii="Calibri" w:eastAsia="Calibri" w:hAnsi="Calibri" w:cs="Calibri"/>
            <w:sz w:val="24"/>
            <w:szCs w:val="24"/>
          </w:rPr>
          <w:t>Watch this</w:t>
        </w:r>
      </w:hyperlink>
      <w:r w:rsidRPr="37E1947E">
        <w:rPr>
          <w:rFonts w:ascii="Calibri" w:eastAsia="Calibri" w:hAnsi="Calibri" w:cs="Calibri"/>
          <w:color w:val="000000" w:themeColor="text1"/>
          <w:sz w:val="24"/>
          <w:szCs w:val="24"/>
        </w:rPr>
        <w:t xml:space="preserve"> to see how to choose the department from the homepage.  </w:t>
      </w:r>
    </w:p>
    <w:p w14:paraId="0910BB31" w14:textId="64644B73" w:rsidR="2C12952F" w:rsidRDefault="2C12952F" w:rsidP="37E1947E">
      <w:p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Second, </w:t>
      </w:r>
      <w:r w:rsidRPr="37E1947E">
        <w:rPr>
          <w:rFonts w:ascii="Calibri" w:eastAsia="Calibri" w:hAnsi="Calibri" w:cs="Calibri"/>
          <w:color w:val="000000" w:themeColor="text1"/>
          <w:sz w:val="24"/>
          <w:szCs w:val="24"/>
          <w:u w:val="single"/>
        </w:rPr>
        <w:t>toggle the “View By” options as appropriate</w:t>
      </w:r>
      <w:r w:rsidRPr="37E1947E">
        <w:rPr>
          <w:rFonts w:ascii="Calibri" w:eastAsia="Calibri" w:hAnsi="Calibri" w:cs="Calibri"/>
          <w:color w:val="000000" w:themeColor="text1"/>
          <w:sz w:val="24"/>
          <w:szCs w:val="24"/>
        </w:rPr>
        <w:t xml:space="preserve">.  </w:t>
      </w:r>
    </w:p>
    <w:p w14:paraId="044C674E" w14:textId="110E5CCF" w:rsidR="2C12952F" w:rsidRDefault="2C12952F" w:rsidP="37E1947E">
      <w:pPr>
        <w:pStyle w:val="ListParagraph"/>
        <w:numPr>
          <w:ilvl w:val="0"/>
          <w:numId w:val="3"/>
        </w:num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As you scroll down any given page in the SA dashboard, you will see “View By” dropdown above some of the visualizations.  These typically default to “School.”  However, because you only have one department selected, you will only see that department’s data.  (You may still wish to choose View by Department, however, so that the labels in the tables are accurate, naming the Department not just the School).  </w:t>
      </w:r>
    </w:p>
    <w:p w14:paraId="2889BA8F" w14:textId="15328114" w:rsidR="2C12952F" w:rsidRDefault="2C12952F" w:rsidP="37E1947E">
      <w:pPr>
        <w:pStyle w:val="ListParagraph"/>
        <w:numPr>
          <w:ilvl w:val="0"/>
          <w:numId w:val="3"/>
        </w:num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lastRenderedPageBreak/>
        <w:t xml:space="preserve">The “View By” options vary depending upon the dashboard.  When you have the option “View By: Plan” you should select this option.  This will allow you to see data broken out by Degree Plan/Major.  </w:t>
      </w:r>
    </w:p>
    <w:p w14:paraId="52A8DE18" w14:textId="7B8E836A" w:rsidR="2C12952F" w:rsidRDefault="2C12952F" w:rsidP="37E1947E">
      <w:pPr>
        <w:pStyle w:val="ListParagraph"/>
        <w:numPr>
          <w:ilvl w:val="0"/>
          <w:numId w:val="3"/>
        </w:numPr>
        <w:rPr>
          <w:rFonts w:ascii="Calibri" w:eastAsia="Calibri" w:hAnsi="Calibri" w:cs="Calibri"/>
          <w:color w:val="000000" w:themeColor="text1"/>
          <w:sz w:val="24"/>
          <w:szCs w:val="24"/>
        </w:rPr>
      </w:pPr>
      <w:hyperlink r:id="rId51">
        <w:r w:rsidRPr="37E1947E">
          <w:rPr>
            <w:rStyle w:val="Hyperlink"/>
            <w:rFonts w:ascii="Calibri" w:eastAsia="Calibri" w:hAnsi="Calibri" w:cs="Calibri"/>
            <w:sz w:val="24"/>
            <w:szCs w:val="24"/>
          </w:rPr>
          <w:t>Watch this</w:t>
        </w:r>
      </w:hyperlink>
      <w:r w:rsidRPr="37E1947E">
        <w:rPr>
          <w:rFonts w:ascii="Calibri" w:eastAsia="Calibri" w:hAnsi="Calibri" w:cs="Calibri"/>
          <w:color w:val="000000" w:themeColor="text1"/>
          <w:sz w:val="24"/>
          <w:szCs w:val="24"/>
        </w:rPr>
        <w:t xml:space="preserve"> to see an example of toggling the View By dropdowns.  </w:t>
      </w:r>
    </w:p>
    <w:p w14:paraId="08056499" w14:textId="1007F8F0" w:rsidR="2C12952F" w:rsidRDefault="2C12952F" w:rsidP="37E1947E">
      <w:pPr>
        <w:rPr>
          <w:rFonts w:ascii="Calibri" w:eastAsia="Calibri" w:hAnsi="Calibri" w:cs="Calibri"/>
          <w:color w:val="000000" w:themeColor="text1"/>
          <w:sz w:val="24"/>
          <w:szCs w:val="24"/>
        </w:rPr>
      </w:pPr>
      <w:r w:rsidRPr="37E1947E">
        <w:rPr>
          <w:rFonts w:ascii="Calibri" w:eastAsia="Calibri" w:hAnsi="Calibri" w:cs="Calibri"/>
          <w:color w:val="000000" w:themeColor="text1"/>
          <w:sz w:val="24"/>
          <w:szCs w:val="24"/>
        </w:rPr>
        <w:t xml:space="preserve">Also note the data on many of these dashboards may be further parsed, e.g., by minority status, sex, or student type.  Please see the bottom left bar of the dashboards for these options.  </w:t>
      </w:r>
    </w:p>
    <w:p w14:paraId="3B5BEF55" w14:textId="6943866B" w:rsidR="37E1947E" w:rsidRPr="004C16A8" w:rsidRDefault="37E1947E" w:rsidP="37E1947E">
      <w:pPr>
        <w:rPr>
          <w:rFonts w:ascii="Calibri" w:hAnsi="Calibri" w:cs="Calibri"/>
          <w:sz w:val="24"/>
          <w:szCs w:val="24"/>
        </w:rPr>
      </w:pPr>
    </w:p>
    <w:p w14:paraId="51A001E9" w14:textId="61A0C260" w:rsidR="00F420DA" w:rsidRPr="004C16A8" w:rsidRDefault="00572E84" w:rsidP="00F420DA">
      <w:pPr>
        <w:rPr>
          <w:rFonts w:ascii="Calibri" w:hAnsi="Calibri" w:cs="Calibri"/>
          <w:b/>
          <w:bCs/>
          <w:sz w:val="24"/>
          <w:szCs w:val="24"/>
        </w:rPr>
      </w:pPr>
      <w:r w:rsidRPr="004C16A8">
        <w:rPr>
          <w:rFonts w:ascii="Calibri" w:hAnsi="Calibri" w:cs="Calibri"/>
          <w:b/>
          <w:bCs/>
          <w:sz w:val="24"/>
          <w:szCs w:val="24"/>
        </w:rPr>
        <w:t>Questions</w:t>
      </w:r>
      <w:r w:rsidR="00F420DA" w:rsidRPr="004C16A8">
        <w:rPr>
          <w:rFonts w:ascii="Calibri" w:hAnsi="Calibri" w:cs="Calibri"/>
          <w:b/>
          <w:bCs/>
          <w:sz w:val="24"/>
          <w:szCs w:val="24"/>
        </w:rPr>
        <w:t xml:space="preserve">? </w:t>
      </w:r>
      <w:r w:rsidR="00A07221" w:rsidRPr="004C16A8">
        <w:rPr>
          <w:rFonts w:ascii="Calibri" w:hAnsi="Calibri" w:cs="Calibri"/>
          <w:b/>
          <w:bCs/>
          <w:sz w:val="24"/>
          <w:szCs w:val="24"/>
        </w:rPr>
        <w:t xml:space="preserve"> </w:t>
      </w:r>
      <w:r w:rsidR="00F420DA" w:rsidRPr="004C16A8">
        <w:rPr>
          <w:rFonts w:ascii="Calibri" w:hAnsi="Calibri" w:cs="Calibri"/>
          <w:sz w:val="24"/>
          <w:szCs w:val="24"/>
        </w:rPr>
        <w:t xml:space="preserve">If you receive an access error, please visit the </w:t>
      </w:r>
      <w:hyperlink r:id="rId52" w:history="1">
        <w:r w:rsidR="00F420DA" w:rsidRPr="004C16A8">
          <w:rPr>
            <w:rStyle w:val="Hyperlink"/>
            <w:rFonts w:ascii="Calibri" w:hAnsi="Calibri" w:cs="Calibri"/>
            <w:sz w:val="24"/>
            <w:szCs w:val="24"/>
          </w:rPr>
          <w:t>OAC Access Request Page</w:t>
        </w:r>
      </w:hyperlink>
      <w:r w:rsidR="00F420DA" w:rsidRPr="004C16A8">
        <w:rPr>
          <w:rFonts w:ascii="Calibri" w:hAnsi="Calibri" w:cs="Calibri"/>
          <w:sz w:val="24"/>
          <w:szCs w:val="24"/>
        </w:rPr>
        <w:t xml:space="preserve"> and contact the correct approver to request access. If you are unsure of who to contact, please reach out to </w:t>
      </w:r>
      <w:hyperlink r:id="rId53" w:history="1">
        <w:r w:rsidR="00F420DA" w:rsidRPr="004C16A8">
          <w:rPr>
            <w:rStyle w:val="Hyperlink"/>
            <w:rFonts w:ascii="Calibri" w:hAnsi="Calibri" w:cs="Calibri"/>
            <w:sz w:val="24"/>
            <w:szCs w:val="24"/>
          </w:rPr>
          <w:t>aire-help@ku.edu</w:t>
        </w:r>
      </w:hyperlink>
      <w:r w:rsidR="00F420DA" w:rsidRPr="004C16A8">
        <w:rPr>
          <w:rFonts w:ascii="Calibri" w:hAnsi="Calibri" w:cs="Calibri"/>
          <w:sz w:val="24"/>
          <w:szCs w:val="24"/>
        </w:rPr>
        <w:t xml:space="preserve"> so AIRE may assist you.</w:t>
      </w:r>
    </w:p>
    <w:p w14:paraId="07A3236D" w14:textId="77777777" w:rsidR="00F420DA" w:rsidRPr="004C16A8" w:rsidRDefault="00F420DA" w:rsidP="37E1947E">
      <w:pPr>
        <w:rPr>
          <w:rFonts w:ascii="Calibri" w:hAnsi="Calibri" w:cs="Calibri"/>
          <w:sz w:val="24"/>
          <w:szCs w:val="24"/>
        </w:rPr>
      </w:pPr>
    </w:p>
    <w:p w14:paraId="1892C519" w14:textId="77777777" w:rsidR="00F420DA" w:rsidRPr="004C16A8" w:rsidRDefault="00F420DA" w:rsidP="37E1947E">
      <w:pPr>
        <w:rPr>
          <w:rFonts w:ascii="Calibri" w:hAnsi="Calibri" w:cs="Calibri"/>
          <w:sz w:val="24"/>
          <w:szCs w:val="24"/>
        </w:rPr>
      </w:pPr>
    </w:p>
    <w:sectPr w:rsidR="00F420DA" w:rsidRPr="004C16A8" w:rsidSect="008207D1">
      <w:pgSz w:w="1296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401C84" w14:textId="77777777" w:rsidR="00357339" w:rsidRDefault="00357339" w:rsidP="00DA1B22">
      <w:pPr>
        <w:spacing w:after="0" w:line="240" w:lineRule="auto"/>
      </w:pPr>
      <w:r>
        <w:separator/>
      </w:r>
    </w:p>
  </w:endnote>
  <w:endnote w:type="continuationSeparator" w:id="0">
    <w:p w14:paraId="07C5CF41" w14:textId="77777777" w:rsidR="00357339" w:rsidRDefault="00357339" w:rsidP="00DA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30FA65" w14:textId="77777777" w:rsidR="00357339" w:rsidRDefault="00357339" w:rsidP="00DA1B22">
      <w:pPr>
        <w:spacing w:after="0" w:line="240" w:lineRule="auto"/>
      </w:pPr>
      <w:r>
        <w:separator/>
      </w:r>
    </w:p>
  </w:footnote>
  <w:footnote w:type="continuationSeparator" w:id="0">
    <w:p w14:paraId="4286A26D" w14:textId="77777777" w:rsidR="00357339" w:rsidRDefault="00357339" w:rsidP="00DA1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3C80950"/>
    <w:multiLevelType w:val="hybridMultilevel"/>
    <w:tmpl w:val="A448D25C"/>
    <w:lvl w:ilvl="0" w:tplc="96142C7E">
      <w:start w:val="1"/>
      <w:numFmt w:val="bullet"/>
      <w:lvlText w:val=""/>
      <w:lvlJc w:val="left"/>
      <w:pPr>
        <w:ind w:left="720" w:hanging="360"/>
      </w:pPr>
      <w:rPr>
        <w:rFonts w:ascii="Symbol" w:hAnsi="Symbol" w:hint="default"/>
      </w:rPr>
    </w:lvl>
    <w:lvl w:ilvl="1" w:tplc="42AAFE8A">
      <w:start w:val="1"/>
      <w:numFmt w:val="bullet"/>
      <w:lvlText w:val="o"/>
      <w:lvlJc w:val="left"/>
      <w:pPr>
        <w:ind w:left="1440" w:hanging="360"/>
      </w:pPr>
      <w:rPr>
        <w:rFonts w:ascii="Courier New" w:hAnsi="Courier New" w:hint="default"/>
      </w:rPr>
    </w:lvl>
    <w:lvl w:ilvl="2" w:tplc="87FAE352">
      <w:start w:val="1"/>
      <w:numFmt w:val="bullet"/>
      <w:lvlText w:val=""/>
      <w:lvlJc w:val="left"/>
      <w:pPr>
        <w:ind w:left="2160" w:hanging="360"/>
      </w:pPr>
      <w:rPr>
        <w:rFonts w:ascii="Wingdings" w:hAnsi="Wingdings" w:hint="default"/>
      </w:rPr>
    </w:lvl>
    <w:lvl w:ilvl="3" w:tplc="76EEEAF0">
      <w:start w:val="1"/>
      <w:numFmt w:val="bullet"/>
      <w:lvlText w:val=""/>
      <w:lvlJc w:val="left"/>
      <w:pPr>
        <w:ind w:left="2880" w:hanging="360"/>
      </w:pPr>
      <w:rPr>
        <w:rFonts w:ascii="Symbol" w:hAnsi="Symbol" w:hint="default"/>
      </w:rPr>
    </w:lvl>
    <w:lvl w:ilvl="4" w:tplc="AE0A671A">
      <w:start w:val="1"/>
      <w:numFmt w:val="bullet"/>
      <w:lvlText w:val="o"/>
      <w:lvlJc w:val="left"/>
      <w:pPr>
        <w:ind w:left="3600" w:hanging="360"/>
      </w:pPr>
      <w:rPr>
        <w:rFonts w:ascii="Courier New" w:hAnsi="Courier New" w:hint="default"/>
      </w:rPr>
    </w:lvl>
    <w:lvl w:ilvl="5" w:tplc="A6660330">
      <w:start w:val="1"/>
      <w:numFmt w:val="bullet"/>
      <w:lvlText w:val=""/>
      <w:lvlJc w:val="left"/>
      <w:pPr>
        <w:ind w:left="4320" w:hanging="360"/>
      </w:pPr>
      <w:rPr>
        <w:rFonts w:ascii="Wingdings" w:hAnsi="Wingdings" w:hint="default"/>
      </w:rPr>
    </w:lvl>
    <w:lvl w:ilvl="6" w:tplc="893C503E">
      <w:start w:val="1"/>
      <w:numFmt w:val="bullet"/>
      <w:lvlText w:val=""/>
      <w:lvlJc w:val="left"/>
      <w:pPr>
        <w:ind w:left="5040" w:hanging="360"/>
      </w:pPr>
      <w:rPr>
        <w:rFonts w:ascii="Symbol" w:hAnsi="Symbol" w:hint="default"/>
      </w:rPr>
    </w:lvl>
    <w:lvl w:ilvl="7" w:tplc="E7B82C72">
      <w:start w:val="1"/>
      <w:numFmt w:val="bullet"/>
      <w:lvlText w:val="o"/>
      <w:lvlJc w:val="left"/>
      <w:pPr>
        <w:ind w:left="5760" w:hanging="360"/>
      </w:pPr>
      <w:rPr>
        <w:rFonts w:ascii="Courier New" w:hAnsi="Courier New" w:hint="default"/>
      </w:rPr>
    </w:lvl>
    <w:lvl w:ilvl="8" w:tplc="6E5C248A">
      <w:start w:val="1"/>
      <w:numFmt w:val="bullet"/>
      <w:lvlText w:val=""/>
      <w:lvlJc w:val="left"/>
      <w:pPr>
        <w:ind w:left="6480" w:hanging="360"/>
      </w:pPr>
      <w:rPr>
        <w:rFonts w:ascii="Wingdings" w:hAnsi="Wingdings" w:hint="default"/>
      </w:rPr>
    </w:lvl>
  </w:abstractNum>
  <w:abstractNum w:abstractNumId="1" w15:restartNumberingAfterBreak="0">
    <w:nsid w:val="4A486949"/>
    <w:multiLevelType w:val="hybridMultilevel"/>
    <w:tmpl w:val="0CE616F4"/>
    <w:lvl w:ilvl="0" w:tplc="9A8434E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071FD"/>
    <w:multiLevelType w:val="hybridMultilevel"/>
    <w:tmpl w:val="F6222F6E"/>
    <w:lvl w:ilvl="0" w:tplc="F866EE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C34D9"/>
    <w:multiLevelType w:val="hybridMultilevel"/>
    <w:tmpl w:val="25047718"/>
    <w:lvl w:ilvl="0" w:tplc="796A6810">
      <w:start w:val="1"/>
      <w:numFmt w:val="bullet"/>
      <w:lvlText w:val=""/>
      <w:lvlJc w:val="left"/>
      <w:pPr>
        <w:ind w:left="720" w:hanging="360"/>
      </w:pPr>
      <w:rPr>
        <w:rFonts w:ascii="Symbol" w:hAnsi="Symbol" w:hint="default"/>
      </w:rPr>
    </w:lvl>
    <w:lvl w:ilvl="1" w:tplc="CA641970">
      <w:start w:val="1"/>
      <w:numFmt w:val="bullet"/>
      <w:lvlText w:val="o"/>
      <w:lvlJc w:val="left"/>
      <w:pPr>
        <w:ind w:left="1440" w:hanging="360"/>
      </w:pPr>
      <w:rPr>
        <w:rFonts w:ascii="Courier New" w:hAnsi="Courier New" w:hint="default"/>
      </w:rPr>
    </w:lvl>
    <w:lvl w:ilvl="2" w:tplc="2FCE5AC0">
      <w:start w:val="1"/>
      <w:numFmt w:val="bullet"/>
      <w:lvlText w:val=""/>
      <w:lvlJc w:val="left"/>
      <w:pPr>
        <w:ind w:left="2160" w:hanging="360"/>
      </w:pPr>
      <w:rPr>
        <w:rFonts w:ascii="Wingdings" w:hAnsi="Wingdings" w:hint="default"/>
      </w:rPr>
    </w:lvl>
    <w:lvl w:ilvl="3" w:tplc="CE7E6154">
      <w:start w:val="1"/>
      <w:numFmt w:val="bullet"/>
      <w:lvlText w:val=""/>
      <w:lvlJc w:val="left"/>
      <w:pPr>
        <w:ind w:left="2880" w:hanging="360"/>
      </w:pPr>
      <w:rPr>
        <w:rFonts w:ascii="Symbol" w:hAnsi="Symbol" w:hint="default"/>
      </w:rPr>
    </w:lvl>
    <w:lvl w:ilvl="4" w:tplc="5122E170">
      <w:start w:val="1"/>
      <w:numFmt w:val="bullet"/>
      <w:lvlText w:val="o"/>
      <w:lvlJc w:val="left"/>
      <w:pPr>
        <w:ind w:left="3600" w:hanging="360"/>
      </w:pPr>
      <w:rPr>
        <w:rFonts w:ascii="Courier New" w:hAnsi="Courier New" w:hint="default"/>
      </w:rPr>
    </w:lvl>
    <w:lvl w:ilvl="5" w:tplc="4B6A8512">
      <w:start w:val="1"/>
      <w:numFmt w:val="bullet"/>
      <w:lvlText w:val=""/>
      <w:lvlJc w:val="left"/>
      <w:pPr>
        <w:ind w:left="4320" w:hanging="360"/>
      </w:pPr>
      <w:rPr>
        <w:rFonts w:ascii="Wingdings" w:hAnsi="Wingdings" w:hint="default"/>
      </w:rPr>
    </w:lvl>
    <w:lvl w:ilvl="6" w:tplc="AE14B276">
      <w:start w:val="1"/>
      <w:numFmt w:val="bullet"/>
      <w:lvlText w:val=""/>
      <w:lvlJc w:val="left"/>
      <w:pPr>
        <w:ind w:left="5040" w:hanging="360"/>
      </w:pPr>
      <w:rPr>
        <w:rFonts w:ascii="Symbol" w:hAnsi="Symbol" w:hint="default"/>
      </w:rPr>
    </w:lvl>
    <w:lvl w:ilvl="7" w:tplc="D456A334">
      <w:start w:val="1"/>
      <w:numFmt w:val="bullet"/>
      <w:lvlText w:val="o"/>
      <w:lvlJc w:val="left"/>
      <w:pPr>
        <w:ind w:left="5760" w:hanging="360"/>
      </w:pPr>
      <w:rPr>
        <w:rFonts w:ascii="Courier New" w:hAnsi="Courier New" w:hint="default"/>
      </w:rPr>
    </w:lvl>
    <w:lvl w:ilvl="8" w:tplc="A0A43A9C">
      <w:start w:val="1"/>
      <w:numFmt w:val="bullet"/>
      <w:lvlText w:val=""/>
      <w:lvlJc w:val="left"/>
      <w:pPr>
        <w:ind w:left="6480" w:hanging="360"/>
      </w:pPr>
      <w:rPr>
        <w:rFonts w:ascii="Wingdings" w:hAnsi="Wingdings" w:hint="default"/>
      </w:rPr>
    </w:lvl>
  </w:abstractNum>
  <w:abstractNum w:abstractNumId="4" w15:restartNumberingAfterBreak="0">
    <w:nsid w:val="75811D26"/>
    <w:multiLevelType w:val="hybridMultilevel"/>
    <w:tmpl w:val="5A42F05E"/>
    <w:lvl w:ilvl="0" w:tplc="B81480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888664">
    <w:abstractNumId w:val="2"/>
  </w:num>
  <w:num w:numId="2" w16cid:durableId="1792280369">
    <w:abstractNumId w:val="0"/>
  </w:num>
  <w:num w:numId="3" w16cid:durableId="1918129561">
    <w:abstractNumId w:val="3"/>
  </w:num>
  <w:num w:numId="4" w16cid:durableId="1979022419">
    <w:abstractNumId w:val="4"/>
  </w:num>
  <w:num w:numId="5" w16cid:durableId="83931988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A4"/>
    <w:rsid w:val="0001466F"/>
    <w:rsid w:val="000176F6"/>
    <w:rsid w:val="00066D27"/>
    <w:rsid w:val="00086412"/>
    <w:rsid w:val="0009003D"/>
    <w:rsid w:val="000A1B68"/>
    <w:rsid w:val="000B2054"/>
    <w:rsid w:val="000D4E4F"/>
    <w:rsid w:val="000E7ADC"/>
    <w:rsid w:val="000E7AEC"/>
    <w:rsid w:val="000F0A5C"/>
    <w:rsid w:val="000F2D2E"/>
    <w:rsid w:val="000F6880"/>
    <w:rsid w:val="00146EA4"/>
    <w:rsid w:val="001A2BDD"/>
    <w:rsid w:val="001A511A"/>
    <w:rsid w:val="001D302C"/>
    <w:rsid w:val="001E0200"/>
    <w:rsid w:val="001E0EC0"/>
    <w:rsid w:val="001E69CB"/>
    <w:rsid w:val="001E7BB6"/>
    <w:rsid w:val="001F4DE3"/>
    <w:rsid w:val="00214F54"/>
    <w:rsid w:val="00224355"/>
    <w:rsid w:val="002325D2"/>
    <w:rsid w:val="00236062"/>
    <w:rsid w:val="00243F75"/>
    <w:rsid w:val="00252C91"/>
    <w:rsid w:val="0025749C"/>
    <w:rsid w:val="002E0C5C"/>
    <w:rsid w:val="0033553A"/>
    <w:rsid w:val="00356737"/>
    <w:rsid w:val="00357339"/>
    <w:rsid w:val="003730E6"/>
    <w:rsid w:val="0037724F"/>
    <w:rsid w:val="003802A7"/>
    <w:rsid w:val="003A651E"/>
    <w:rsid w:val="003B2D35"/>
    <w:rsid w:val="003B55CD"/>
    <w:rsid w:val="003C53DD"/>
    <w:rsid w:val="00401F29"/>
    <w:rsid w:val="00411470"/>
    <w:rsid w:val="0042579A"/>
    <w:rsid w:val="004514F5"/>
    <w:rsid w:val="004539D9"/>
    <w:rsid w:val="00456406"/>
    <w:rsid w:val="00461BA6"/>
    <w:rsid w:val="00472512"/>
    <w:rsid w:val="00492983"/>
    <w:rsid w:val="004B436C"/>
    <w:rsid w:val="004C16A8"/>
    <w:rsid w:val="004D09B3"/>
    <w:rsid w:val="004E7DEE"/>
    <w:rsid w:val="00504BE4"/>
    <w:rsid w:val="005147DE"/>
    <w:rsid w:val="00526E34"/>
    <w:rsid w:val="00557E19"/>
    <w:rsid w:val="00572E84"/>
    <w:rsid w:val="00590999"/>
    <w:rsid w:val="005A22CB"/>
    <w:rsid w:val="005A46DA"/>
    <w:rsid w:val="005B286A"/>
    <w:rsid w:val="005B340B"/>
    <w:rsid w:val="005C3723"/>
    <w:rsid w:val="00610214"/>
    <w:rsid w:val="00610578"/>
    <w:rsid w:val="00654F8B"/>
    <w:rsid w:val="00656A28"/>
    <w:rsid w:val="00660E35"/>
    <w:rsid w:val="006812CC"/>
    <w:rsid w:val="00692003"/>
    <w:rsid w:val="006E56C4"/>
    <w:rsid w:val="006F0A04"/>
    <w:rsid w:val="00722756"/>
    <w:rsid w:val="00722B92"/>
    <w:rsid w:val="00765252"/>
    <w:rsid w:val="00770E37"/>
    <w:rsid w:val="007801FC"/>
    <w:rsid w:val="007A2833"/>
    <w:rsid w:val="007B12B4"/>
    <w:rsid w:val="007D24AF"/>
    <w:rsid w:val="007D7FAD"/>
    <w:rsid w:val="007F1881"/>
    <w:rsid w:val="008207D1"/>
    <w:rsid w:val="00826680"/>
    <w:rsid w:val="00855E19"/>
    <w:rsid w:val="00860661"/>
    <w:rsid w:val="00865A51"/>
    <w:rsid w:val="008B7B39"/>
    <w:rsid w:val="008F025E"/>
    <w:rsid w:val="008F236E"/>
    <w:rsid w:val="00905741"/>
    <w:rsid w:val="00906A73"/>
    <w:rsid w:val="0092179E"/>
    <w:rsid w:val="00937442"/>
    <w:rsid w:val="009443CA"/>
    <w:rsid w:val="00970CF9"/>
    <w:rsid w:val="00981F8A"/>
    <w:rsid w:val="0098367D"/>
    <w:rsid w:val="0098373C"/>
    <w:rsid w:val="00987731"/>
    <w:rsid w:val="009B1586"/>
    <w:rsid w:val="009C1588"/>
    <w:rsid w:val="009D18D8"/>
    <w:rsid w:val="009D4462"/>
    <w:rsid w:val="009E51E7"/>
    <w:rsid w:val="009F2938"/>
    <w:rsid w:val="00A00F33"/>
    <w:rsid w:val="00A07221"/>
    <w:rsid w:val="00A170AC"/>
    <w:rsid w:val="00A21999"/>
    <w:rsid w:val="00A2600B"/>
    <w:rsid w:val="00A50EF4"/>
    <w:rsid w:val="00A72144"/>
    <w:rsid w:val="00A837FB"/>
    <w:rsid w:val="00A9547B"/>
    <w:rsid w:val="00AC257E"/>
    <w:rsid w:val="00AD777C"/>
    <w:rsid w:val="00B2235E"/>
    <w:rsid w:val="00B30016"/>
    <w:rsid w:val="00B457E6"/>
    <w:rsid w:val="00B578D0"/>
    <w:rsid w:val="00B60E52"/>
    <w:rsid w:val="00B62CA3"/>
    <w:rsid w:val="00B62EF9"/>
    <w:rsid w:val="00B669C1"/>
    <w:rsid w:val="00B86B9F"/>
    <w:rsid w:val="00BEB6BC"/>
    <w:rsid w:val="00C436CA"/>
    <w:rsid w:val="00C4549C"/>
    <w:rsid w:val="00C52542"/>
    <w:rsid w:val="00C752D0"/>
    <w:rsid w:val="00C7538D"/>
    <w:rsid w:val="00C871CA"/>
    <w:rsid w:val="00C90250"/>
    <w:rsid w:val="00CB02F9"/>
    <w:rsid w:val="00CD5434"/>
    <w:rsid w:val="00D21F77"/>
    <w:rsid w:val="00D35945"/>
    <w:rsid w:val="00D372F9"/>
    <w:rsid w:val="00D430D8"/>
    <w:rsid w:val="00D5248C"/>
    <w:rsid w:val="00D61003"/>
    <w:rsid w:val="00D720A1"/>
    <w:rsid w:val="00D75D37"/>
    <w:rsid w:val="00D8599E"/>
    <w:rsid w:val="00D908AF"/>
    <w:rsid w:val="00D90F0F"/>
    <w:rsid w:val="00D9459F"/>
    <w:rsid w:val="00D965F5"/>
    <w:rsid w:val="00DA1B22"/>
    <w:rsid w:val="00DD30A9"/>
    <w:rsid w:val="00DE22B9"/>
    <w:rsid w:val="00E02E4C"/>
    <w:rsid w:val="00E110AA"/>
    <w:rsid w:val="00E155B6"/>
    <w:rsid w:val="00E324F0"/>
    <w:rsid w:val="00E33EA4"/>
    <w:rsid w:val="00E446D1"/>
    <w:rsid w:val="00E55942"/>
    <w:rsid w:val="00E55B05"/>
    <w:rsid w:val="00E575D7"/>
    <w:rsid w:val="00E81487"/>
    <w:rsid w:val="00E828FA"/>
    <w:rsid w:val="00E85795"/>
    <w:rsid w:val="00EA4DFD"/>
    <w:rsid w:val="00EB27D3"/>
    <w:rsid w:val="00EE4EC4"/>
    <w:rsid w:val="00EF1F0A"/>
    <w:rsid w:val="00EF3E3A"/>
    <w:rsid w:val="00F420DA"/>
    <w:rsid w:val="00F53EF8"/>
    <w:rsid w:val="00F565D6"/>
    <w:rsid w:val="00F60DD1"/>
    <w:rsid w:val="00F94FA8"/>
    <w:rsid w:val="00FA4CF7"/>
    <w:rsid w:val="00FB5D63"/>
    <w:rsid w:val="00FB7E52"/>
    <w:rsid w:val="00FC5547"/>
    <w:rsid w:val="00FD0495"/>
    <w:rsid w:val="00FD39A3"/>
    <w:rsid w:val="00FE20C1"/>
    <w:rsid w:val="050A0B15"/>
    <w:rsid w:val="06A31CD8"/>
    <w:rsid w:val="070908AC"/>
    <w:rsid w:val="0992DB98"/>
    <w:rsid w:val="0C65F7A5"/>
    <w:rsid w:val="0CB88982"/>
    <w:rsid w:val="0CD534D5"/>
    <w:rsid w:val="0DE0E3AC"/>
    <w:rsid w:val="1360A226"/>
    <w:rsid w:val="1397EB9A"/>
    <w:rsid w:val="13C220AE"/>
    <w:rsid w:val="1451CCA0"/>
    <w:rsid w:val="1771506D"/>
    <w:rsid w:val="1829E713"/>
    <w:rsid w:val="18AEA8FB"/>
    <w:rsid w:val="1C92375F"/>
    <w:rsid w:val="1E49DA65"/>
    <w:rsid w:val="2096F2A0"/>
    <w:rsid w:val="21DDDF7F"/>
    <w:rsid w:val="22484D4E"/>
    <w:rsid w:val="23722A13"/>
    <w:rsid w:val="23CB3774"/>
    <w:rsid w:val="24280202"/>
    <w:rsid w:val="27B6A1F2"/>
    <w:rsid w:val="292BA5E2"/>
    <w:rsid w:val="2BE36F7A"/>
    <w:rsid w:val="2C12952F"/>
    <w:rsid w:val="2C2AB262"/>
    <w:rsid w:val="2CA123A8"/>
    <w:rsid w:val="2D444C0D"/>
    <w:rsid w:val="2E1205D4"/>
    <w:rsid w:val="2EBE0226"/>
    <w:rsid w:val="344DE7A5"/>
    <w:rsid w:val="35EABD53"/>
    <w:rsid w:val="363F2B81"/>
    <w:rsid w:val="37457184"/>
    <w:rsid w:val="375DB894"/>
    <w:rsid w:val="3784EDFA"/>
    <w:rsid w:val="37E1947E"/>
    <w:rsid w:val="38207279"/>
    <w:rsid w:val="382DB53C"/>
    <w:rsid w:val="38AE41FD"/>
    <w:rsid w:val="39E47F81"/>
    <w:rsid w:val="3A16E826"/>
    <w:rsid w:val="3AF2A429"/>
    <w:rsid w:val="3B7C1E06"/>
    <w:rsid w:val="425B46BB"/>
    <w:rsid w:val="427F8410"/>
    <w:rsid w:val="44C1B830"/>
    <w:rsid w:val="461E6A1A"/>
    <w:rsid w:val="4697CC8C"/>
    <w:rsid w:val="46B65B16"/>
    <w:rsid w:val="47EDDF3A"/>
    <w:rsid w:val="480F05BE"/>
    <w:rsid w:val="48E54153"/>
    <w:rsid w:val="49DDA821"/>
    <w:rsid w:val="4B2614C0"/>
    <w:rsid w:val="4CF3A599"/>
    <w:rsid w:val="4D089810"/>
    <w:rsid w:val="4D7A5CDD"/>
    <w:rsid w:val="4D83DC93"/>
    <w:rsid w:val="4DCA13BD"/>
    <w:rsid w:val="4FFDB207"/>
    <w:rsid w:val="5085E713"/>
    <w:rsid w:val="525693E4"/>
    <w:rsid w:val="55D9E168"/>
    <w:rsid w:val="57152276"/>
    <w:rsid w:val="57243917"/>
    <w:rsid w:val="57B9341A"/>
    <w:rsid w:val="581C2442"/>
    <w:rsid w:val="584B9A9C"/>
    <w:rsid w:val="58DD7AC2"/>
    <w:rsid w:val="59F46C46"/>
    <w:rsid w:val="5AA794E8"/>
    <w:rsid w:val="5B946E22"/>
    <w:rsid w:val="5F232D37"/>
    <w:rsid w:val="6065E233"/>
    <w:rsid w:val="608A0141"/>
    <w:rsid w:val="6120FF2C"/>
    <w:rsid w:val="68D4FDF2"/>
    <w:rsid w:val="69E39BFC"/>
    <w:rsid w:val="6C76CBDC"/>
    <w:rsid w:val="6E6962FC"/>
    <w:rsid w:val="6FE94D7D"/>
    <w:rsid w:val="70B8829F"/>
    <w:rsid w:val="70CE7BBA"/>
    <w:rsid w:val="741F589E"/>
    <w:rsid w:val="7671588F"/>
    <w:rsid w:val="771AC342"/>
    <w:rsid w:val="78B26BB0"/>
    <w:rsid w:val="79A5C40D"/>
    <w:rsid w:val="7A56127E"/>
    <w:rsid w:val="7B3079F3"/>
    <w:rsid w:val="7C973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0898B9"/>
  <w15:chartTrackingRefBased/>
  <w15:docId w15:val="{B099C49C-31B6-4CE4-A457-EF6BB84D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EA4"/>
    <w:pPr>
      <w:keepNext/>
      <w:keepLines/>
      <w:spacing w:before="360" w:after="80"/>
      <w:outlineLvl w:val="0"/>
    </w:pPr>
    <w:rPr>
      <w:rFonts w:asciiTheme="majorHAnsi" w:eastAsiaTheme="majorEastAsia" w:hAnsiTheme="majorHAnsi" w:cstheme="majorBidi"/>
      <w:color w:val="003C8B" w:themeColor="accent1" w:themeShade="BF"/>
      <w:sz w:val="40"/>
      <w:szCs w:val="40"/>
    </w:rPr>
  </w:style>
  <w:style w:type="paragraph" w:styleId="Heading2">
    <w:name w:val="heading 2"/>
    <w:basedOn w:val="Normal"/>
    <w:next w:val="Normal"/>
    <w:link w:val="Heading2Char"/>
    <w:uiPriority w:val="9"/>
    <w:semiHidden/>
    <w:unhideWhenUsed/>
    <w:qFormat/>
    <w:rsid w:val="00E33EA4"/>
    <w:pPr>
      <w:keepNext/>
      <w:keepLines/>
      <w:spacing w:before="160" w:after="80"/>
      <w:outlineLvl w:val="1"/>
    </w:pPr>
    <w:rPr>
      <w:rFonts w:asciiTheme="majorHAnsi" w:eastAsiaTheme="majorEastAsia" w:hAnsiTheme="majorHAnsi" w:cstheme="majorBidi"/>
      <w:color w:val="003C8B" w:themeColor="accent1" w:themeShade="BF"/>
      <w:sz w:val="32"/>
      <w:szCs w:val="32"/>
    </w:rPr>
  </w:style>
  <w:style w:type="paragraph" w:styleId="Heading3">
    <w:name w:val="heading 3"/>
    <w:basedOn w:val="Normal"/>
    <w:next w:val="Normal"/>
    <w:link w:val="Heading3Char"/>
    <w:uiPriority w:val="9"/>
    <w:semiHidden/>
    <w:unhideWhenUsed/>
    <w:qFormat/>
    <w:rsid w:val="00E33EA4"/>
    <w:pPr>
      <w:keepNext/>
      <w:keepLines/>
      <w:spacing w:before="160" w:after="80"/>
      <w:outlineLvl w:val="2"/>
    </w:pPr>
    <w:rPr>
      <w:rFonts w:eastAsiaTheme="majorEastAsia" w:cstheme="majorBidi"/>
      <w:color w:val="003C8B" w:themeColor="accent1" w:themeShade="BF"/>
      <w:sz w:val="28"/>
      <w:szCs w:val="28"/>
    </w:rPr>
  </w:style>
  <w:style w:type="paragraph" w:styleId="Heading4">
    <w:name w:val="heading 4"/>
    <w:basedOn w:val="Normal"/>
    <w:next w:val="Normal"/>
    <w:link w:val="Heading4Char"/>
    <w:uiPriority w:val="9"/>
    <w:semiHidden/>
    <w:unhideWhenUsed/>
    <w:qFormat/>
    <w:rsid w:val="00E33EA4"/>
    <w:pPr>
      <w:keepNext/>
      <w:keepLines/>
      <w:spacing w:before="80" w:after="40"/>
      <w:outlineLvl w:val="3"/>
    </w:pPr>
    <w:rPr>
      <w:rFonts w:eastAsiaTheme="majorEastAsia" w:cstheme="majorBidi"/>
      <w:i/>
      <w:iCs/>
      <w:color w:val="003C8B" w:themeColor="accent1" w:themeShade="BF"/>
    </w:rPr>
  </w:style>
  <w:style w:type="paragraph" w:styleId="Heading5">
    <w:name w:val="heading 5"/>
    <w:basedOn w:val="Normal"/>
    <w:next w:val="Normal"/>
    <w:link w:val="Heading5Char"/>
    <w:uiPriority w:val="9"/>
    <w:semiHidden/>
    <w:unhideWhenUsed/>
    <w:qFormat/>
    <w:rsid w:val="00E33EA4"/>
    <w:pPr>
      <w:keepNext/>
      <w:keepLines/>
      <w:spacing w:before="80" w:after="40"/>
      <w:outlineLvl w:val="4"/>
    </w:pPr>
    <w:rPr>
      <w:rFonts w:eastAsiaTheme="majorEastAsia" w:cstheme="majorBidi"/>
      <w:color w:val="003C8B" w:themeColor="accent1" w:themeShade="BF"/>
    </w:rPr>
  </w:style>
  <w:style w:type="paragraph" w:styleId="Heading6">
    <w:name w:val="heading 6"/>
    <w:basedOn w:val="Normal"/>
    <w:next w:val="Normal"/>
    <w:link w:val="Heading6Char"/>
    <w:uiPriority w:val="9"/>
    <w:semiHidden/>
    <w:unhideWhenUsed/>
    <w:qFormat/>
    <w:rsid w:val="00E33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EA4"/>
    <w:rPr>
      <w:rFonts w:asciiTheme="majorHAnsi" w:eastAsiaTheme="majorEastAsia" w:hAnsiTheme="majorHAnsi" w:cstheme="majorBidi"/>
      <w:color w:val="003C8B" w:themeColor="accent1" w:themeShade="BF"/>
      <w:sz w:val="40"/>
      <w:szCs w:val="40"/>
    </w:rPr>
  </w:style>
  <w:style w:type="character" w:customStyle="1" w:styleId="Heading2Char">
    <w:name w:val="Heading 2 Char"/>
    <w:basedOn w:val="DefaultParagraphFont"/>
    <w:link w:val="Heading2"/>
    <w:uiPriority w:val="9"/>
    <w:semiHidden/>
    <w:rsid w:val="00E33EA4"/>
    <w:rPr>
      <w:rFonts w:asciiTheme="majorHAnsi" w:eastAsiaTheme="majorEastAsia" w:hAnsiTheme="majorHAnsi" w:cstheme="majorBidi"/>
      <w:color w:val="003C8B" w:themeColor="accent1" w:themeShade="BF"/>
      <w:sz w:val="32"/>
      <w:szCs w:val="32"/>
    </w:rPr>
  </w:style>
  <w:style w:type="character" w:customStyle="1" w:styleId="Heading3Char">
    <w:name w:val="Heading 3 Char"/>
    <w:basedOn w:val="DefaultParagraphFont"/>
    <w:link w:val="Heading3"/>
    <w:uiPriority w:val="9"/>
    <w:semiHidden/>
    <w:rsid w:val="00E33EA4"/>
    <w:rPr>
      <w:rFonts w:eastAsiaTheme="majorEastAsia" w:cstheme="majorBidi"/>
      <w:color w:val="003C8B" w:themeColor="accent1" w:themeShade="BF"/>
      <w:sz w:val="28"/>
      <w:szCs w:val="28"/>
    </w:rPr>
  </w:style>
  <w:style w:type="character" w:customStyle="1" w:styleId="Heading4Char">
    <w:name w:val="Heading 4 Char"/>
    <w:basedOn w:val="DefaultParagraphFont"/>
    <w:link w:val="Heading4"/>
    <w:uiPriority w:val="9"/>
    <w:semiHidden/>
    <w:rsid w:val="00E33EA4"/>
    <w:rPr>
      <w:rFonts w:eastAsiaTheme="majorEastAsia" w:cstheme="majorBidi"/>
      <w:i/>
      <w:iCs/>
      <w:color w:val="003C8B" w:themeColor="accent1" w:themeShade="BF"/>
    </w:rPr>
  </w:style>
  <w:style w:type="character" w:customStyle="1" w:styleId="Heading5Char">
    <w:name w:val="Heading 5 Char"/>
    <w:basedOn w:val="DefaultParagraphFont"/>
    <w:link w:val="Heading5"/>
    <w:uiPriority w:val="9"/>
    <w:semiHidden/>
    <w:rsid w:val="00E33EA4"/>
    <w:rPr>
      <w:rFonts w:eastAsiaTheme="majorEastAsia" w:cstheme="majorBidi"/>
      <w:color w:val="003C8B" w:themeColor="accent1" w:themeShade="BF"/>
    </w:rPr>
  </w:style>
  <w:style w:type="character" w:customStyle="1" w:styleId="Heading6Char">
    <w:name w:val="Heading 6 Char"/>
    <w:basedOn w:val="DefaultParagraphFont"/>
    <w:link w:val="Heading6"/>
    <w:uiPriority w:val="9"/>
    <w:semiHidden/>
    <w:rsid w:val="00E33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EA4"/>
    <w:rPr>
      <w:rFonts w:eastAsiaTheme="majorEastAsia" w:cstheme="majorBidi"/>
      <w:color w:val="272727" w:themeColor="text1" w:themeTint="D8"/>
    </w:rPr>
  </w:style>
  <w:style w:type="paragraph" w:styleId="Title">
    <w:name w:val="Title"/>
    <w:basedOn w:val="Normal"/>
    <w:next w:val="Normal"/>
    <w:link w:val="TitleChar"/>
    <w:uiPriority w:val="10"/>
    <w:qFormat/>
    <w:rsid w:val="00E3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EA4"/>
    <w:pPr>
      <w:spacing w:before="160"/>
      <w:jc w:val="center"/>
    </w:pPr>
    <w:rPr>
      <w:i/>
      <w:iCs/>
      <w:color w:val="404040" w:themeColor="text1" w:themeTint="BF"/>
    </w:rPr>
  </w:style>
  <w:style w:type="character" w:customStyle="1" w:styleId="QuoteChar">
    <w:name w:val="Quote Char"/>
    <w:basedOn w:val="DefaultParagraphFont"/>
    <w:link w:val="Quote"/>
    <w:uiPriority w:val="29"/>
    <w:rsid w:val="00E33EA4"/>
    <w:rPr>
      <w:i/>
      <w:iCs/>
      <w:color w:val="404040" w:themeColor="text1" w:themeTint="BF"/>
    </w:rPr>
  </w:style>
  <w:style w:type="paragraph" w:styleId="ListParagraph">
    <w:name w:val="List Paragraph"/>
    <w:basedOn w:val="Normal"/>
    <w:uiPriority w:val="34"/>
    <w:qFormat/>
    <w:rsid w:val="00E33EA4"/>
    <w:pPr>
      <w:ind w:left="720"/>
      <w:contextualSpacing/>
    </w:pPr>
  </w:style>
  <w:style w:type="character" w:styleId="IntenseEmphasis">
    <w:name w:val="Intense Emphasis"/>
    <w:basedOn w:val="DefaultParagraphFont"/>
    <w:uiPriority w:val="21"/>
    <w:qFormat/>
    <w:rsid w:val="00E33EA4"/>
    <w:rPr>
      <w:i/>
      <w:iCs/>
      <w:color w:val="003C8B" w:themeColor="accent1" w:themeShade="BF"/>
    </w:rPr>
  </w:style>
  <w:style w:type="paragraph" w:styleId="IntenseQuote">
    <w:name w:val="Intense Quote"/>
    <w:basedOn w:val="Normal"/>
    <w:next w:val="Normal"/>
    <w:link w:val="IntenseQuoteChar"/>
    <w:uiPriority w:val="30"/>
    <w:qFormat/>
    <w:rsid w:val="00E33EA4"/>
    <w:pPr>
      <w:pBdr>
        <w:top w:val="single" w:sz="4" w:space="10" w:color="003C8B" w:themeColor="accent1" w:themeShade="BF"/>
        <w:bottom w:val="single" w:sz="4" w:space="10" w:color="003C8B" w:themeColor="accent1" w:themeShade="BF"/>
      </w:pBdr>
      <w:spacing w:before="360" w:after="360"/>
      <w:ind w:left="864" w:right="864"/>
      <w:jc w:val="center"/>
    </w:pPr>
    <w:rPr>
      <w:i/>
      <w:iCs/>
      <w:color w:val="003C8B" w:themeColor="accent1" w:themeShade="BF"/>
    </w:rPr>
  </w:style>
  <w:style w:type="character" w:customStyle="1" w:styleId="IntenseQuoteChar">
    <w:name w:val="Intense Quote Char"/>
    <w:basedOn w:val="DefaultParagraphFont"/>
    <w:link w:val="IntenseQuote"/>
    <w:uiPriority w:val="30"/>
    <w:rsid w:val="00E33EA4"/>
    <w:rPr>
      <w:i/>
      <w:iCs/>
      <w:color w:val="003C8B" w:themeColor="accent1" w:themeShade="BF"/>
    </w:rPr>
  </w:style>
  <w:style w:type="character" w:styleId="IntenseReference">
    <w:name w:val="Intense Reference"/>
    <w:basedOn w:val="DefaultParagraphFont"/>
    <w:uiPriority w:val="32"/>
    <w:qFormat/>
    <w:rsid w:val="00E33EA4"/>
    <w:rPr>
      <w:b/>
      <w:bCs/>
      <w:smallCaps/>
      <w:color w:val="003C8B" w:themeColor="accent1" w:themeShade="BF"/>
      <w:spacing w:val="5"/>
    </w:rPr>
  </w:style>
  <w:style w:type="table" w:styleId="TableGrid">
    <w:name w:val="Table Grid"/>
    <w:basedOn w:val="TableNormal"/>
    <w:uiPriority w:val="39"/>
    <w:rsid w:val="00373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881"/>
    <w:rPr>
      <w:color w:val="0563C1" w:themeColor="hyperlink"/>
      <w:u w:val="single"/>
    </w:rPr>
  </w:style>
  <w:style w:type="character" w:styleId="UnresolvedMention">
    <w:name w:val="Unresolved Mention"/>
    <w:basedOn w:val="DefaultParagraphFont"/>
    <w:uiPriority w:val="99"/>
    <w:semiHidden/>
    <w:unhideWhenUsed/>
    <w:rsid w:val="007F1881"/>
    <w:rPr>
      <w:color w:val="605E5C"/>
      <w:shd w:val="clear" w:color="auto" w:fill="E1DFDD"/>
    </w:rPr>
  </w:style>
  <w:style w:type="paragraph" w:styleId="Header">
    <w:name w:val="header"/>
    <w:basedOn w:val="Normal"/>
    <w:link w:val="HeaderChar"/>
    <w:uiPriority w:val="99"/>
    <w:unhideWhenUsed/>
    <w:rsid w:val="00DA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22"/>
  </w:style>
  <w:style w:type="paragraph" w:styleId="Footer">
    <w:name w:val="footer"/>
    <w:basedOn w:val="Normal"/>
    <w:link w:val="FooterChar"/>
    <w:uiPriority w:val="99"/>
    <w:unhideWhenUsed/>
    <w:rsid w:val="00DA1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22"/>
  </w:style>
  <w:style w:type="character" w:styleId="FollowedHyperlink">
    <w:name w:val="FollowedHyperlink"/>
    <w:basedOn w:val="DefaultParagraphFont"/>
    <w:uiPriority w:val="99"/>
    <w:semiHidden/>
    <w:unhideWhenUsed/>
    <w:rsid w:val="00401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ac.ku.edu/analytics/saw.dll?Dashboard&amp;PortalPath=%2Fshared%2FStrategic%20Alignment%20Dashboards%2F_portal%2FStrategic%20Alignment%20Metrics&amp;Page=Tenure%20%26%20Tenure%20Track%20Faculty%20w%2F%20Active%20Awards&amp;PageIdentifier=3o19hccs2vg95rg0&amp;BookmarkState=km295bq8jmd7lafg8k8dnv3e6m&amp;options=frdg" TargetMode="External"/><Relationship Id="rId18" Type="http://schemas.openxmlformats.org/officeDocument/2006/relationships/hyperlink" Target="https://oac.ku.edu/analytics/saw.dll?Dashboard&amp;PortalPath=%2Fshared%2FStrategic%20Alignment%20Dashboards%2F_portal%2FStrategic%20Alignment%20Metrics&amp;Page=Healthy%20%26%20Vibrant%20Communities&amp;PageIdentifier=dl87nfa7vb68oh6n&amp;BookmarkState=28po55optnuento8iqd5rnqlv6&amp;options=frdg" TargetMode="External"/><Relationship Id="rId26" Type="http://schemas.openxmlformats.org/officeDocument/2006/relationships/hyperlink" Target="https://kansas.sharepoint.com/:v:/t/apr/IQBrj50aS0cjQZ93ChuwbEwyAezBY5mccwx6zZxQnUmcOTM?e=MhUDA1" TargetMode="External"/><Relationship Id="rId39" Type="http://schemas.openxmlformats.org/officeDocument/2006/relationships/hyperlink" Target="https://oac.ku.edu/analytics/saw.dll?Dashboard&amp;PortalPath=%2Fshared%2FStrategic%20Alignment%20Dashboards%2F_portal%2FStrategic%20Alignment%20Metrics&amp;Page=Yield%20Rates&amp;PageIdentifier=tr5mtqn05r6gl1gc&amp;BookmarkState=efljngue7j5fde3rerq4si4iiu&amp;options=frdg" TargetMode="External"/><Relationship Id="rId21" Type="http://schemas.openxmlformats.org/officeDocument/2006/relationships/hyperlink" Target="https://visualanalytics.ku.edu/views/DocTTD/PrePostOCTTD/ca50005f-668e-48f6-86a0-bad3670edce0/eaa7ef18-b213-41d1-8e54-ae21c6545a8a" TargetMode="External"/><Relationship Id="rId34" Type="http://schemas.openxmlformats.org/officeDocument/2006/relationships/hyperlink" Target="https://kansas.sharepoint.com/:v:/t/apr/IQDeYIo58MO9T4JcNCwM-b8MAe4s05xEy9Xb-RDZgoVO6Tc?e=F7hEJV" TargetMode="External"/><Relationship Id="rId42" Type="http://schemas.openxmlformats.org/officeDocument/2006/relationships/hyperlink" Target="https://kansas.sharepoint.com/:v:/t/apr/IQDtL6JcGDjJTqq9M3EbEILnAamXKIPfgeEo0S7o8sDVO-Q?e=EOpJWp" TargetMode="External"/><Relationship Id="rId47" Type="http://schemas.openxmlformats.org/officeDocument/2006/relationships/hyperlink" Target="https://kansas.sharepoint.com/:v:/t/apr/IQD16vl2R9dZQZ8P0j54kMo9AQ7L6LYA3aVZ7gqJ2WNFeTE?e=L6yaHG" TargetMode="External"/><Relationship Id="rId50" Type="http://schemas.openxmlformats.org/officeDocument/2006/relationships/hyperlink" Target="https://kansas.sharepoint.com/:v:/t/apr/IQDaADhS5lpKQJxQR_8yq8xsAaAdX3TRHhWzgpHKu7ta1bU?e=j7UHBB"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kansas.sharepoint.com/:v:/t/apr/IQDdQ9pY1J_ERLGdR4XS5SGoAakSvsFVy9pGpqxzUopx1Kg?e=553NfU" TargetMode="External"/><Relationship Id="rId29" Type="http://schemas.openxmlformats.org/officeDocument/2006/relationships/hyperlink" Target="https://visualanalytics.ku.edu/views/NSSE2024/TableofContents" TargetMode="External"/><Relationship Id="rId11" Type="http://schemas.openxmlformats.org/officeDocument/2006/relationships/hyperlink" Target="https://oac.ku.edu/analytics/saw.dll?Dashboard&amp;PortalPath=%2Fshared%2FStrategic%20Alignment%20Dashboards%2F_portal%2FStrategic%20Alignment%20Metrics&amp;Page=Priority%20Metrics&amp;PageIdentifier=riqcnqtredjq753l&amp;BookmarkState=g9ja88tgssd9aqpjr7692t586a&amp;options=frdg" TargetMode="External"/><Relationship Id="rId24" Type="http://schemas.openxmlformats.org/officeDocument/2006/relationships/hyperlink" Target="https://kansas.sharepoint.com/:v:/t/apr/IQBrj50aS0cjQZ93ChuwbEwyAezBY5mccwx6zZxQnUmcOTM?e=MhUDA1" TargetMode="External"/><Relationship Id="rId32" Type="http://schemas.openxmlformats.org/officeDocument/2006/relationships/hyperlink" Target="https://kansas.sharepoint.com/:v:/t/apr/IQCPbw68QPjZRpf13xeaSomdAV0BQJbRoLxkRBT-NbIVgic?e=tebFrg" TargetMode="External"/><Relationship Id="rId37" Type="http://schemas.openxmlformats.org/officeDocument/2006/relationships/hyperlink" Target="https://oac.ku.edu/analytics/saw.dll?Dashboard&amp;PortalPath=%2Fshared%2FStrategic%20Alignment%20Dashboards%2F_portal%2FStrategic%20Alignment%20Metrics&amp;Page=Healthy%20%26%20Vibrant%20Communities&amp;PageIdentifier=dl87nfa7vb68oh6n&amp;BookmarkState=28po55optnuento8iqd5rnqlv6&amp;options=frdg" TargetMode="External"/><Relationship Id="rId40" Type="http://schemas.openxmlformats.org/officeDocument/2006/relationships/hyperlink" Target="https://oac.ku.edu/analytics/saw.dll?Dashboard&amp;PortalPath=%2Fshared%2FStrategic%20Alignment%20Dashboards%2F_portal%2FStrategic%20Alignment%20Metrics&amp;Page=Student%20Success&amp;PageIdentifier=po14g9h95tp93on6&amp;BookmarkState=n6d1fiidmdscb6jmf0lmgrre1e&amp;options=-" TargetMode="External"/><Relationship Id="rId45" Type="http://schemas.openxmlformats.org/officeDocument/2006/relationships/hyperlink" Target="https://oac.ku.edu/analytics/saw.dll?Dashboard&amp;PortalPath=%2Fshared%2FStrategic%20Alignment%20Dashboards%2F_portal%2FStrategic%20Alignment%20Metrics&amp;Page=Time%20to%20Degree&amp;PageIdentifier=3fc7shs0fccbf1h7&amp;BookmarkState=l1sa0i5849govkrpp6d3q6eo4e&amp;options=frdg" TargetMode="External"/><Relationship Id="rId53" Type="http://schemas.openxmlformats.org/officeDocument/2006/relationships/hyperlink" Target="mailto:aire-help@ku.edu" TargetMode="External"/><Relationship Id="rId5" Type="http://schemas.openxmlformats.org/officeDocument/2006/relationships/styles" Target="styles.xml"/><Relationship Id="rId10" Type="http://schemas.openxmlformats.org/officeDocument/2006/relationships/hyperlink" Target="https://oac.ku.edu/analytics/saw.dll?Dashboard&amp;PortalPath=%2Fshared%2FStrategic%20Alignment%20Dashboards%2F_portal%2FStrategic%20Alignment%20Metrics&amp;Page=Strategic%20Alignment%20Home&amp;PageIdentifier=gr2smgig2hrtq655&amp;BookmarkState=eh2a2bdt7q0et2dlqk5luv30q6&amp;options=-" TargetMode="External"/><Relationship Id="rId19" Type="http://schemas.openxmlformats.org/officeDocument/2006/relationships/hyperlink" Target="https://oac.ku.edu/analytics/saw.dll?Dashboard&amp;PortalPath=%2Fshared%2FStrategic%20Alignment%20Dashboards%2F_portal%2FStrategic%20Alignment%20Metrics&amp;Page=DFW%20Rates%20by%20Term&amp;PageIdentifier=83o5bm16jmsgak1t&amp;BookmarkState=lc17fi8am5pmubhv3ba2n1odai&amp;options=-" TargetMode="External"/><Relationship Id="rId31" Type="http://schemas.openxmlformats.org/officeDocument/2006/relationships/hyperlink" Target="https://visualanalytics.ku.edu/" TargetMode="External"/><Relationship Id="rId44" Type="http://schemas.openxmlformats.org/officeDocument/2006/relationships/hyperlink" Target="https://oac.ku.edu/analytics/saw.dll?Dashboard&amp;PortalPath=%2Fshared%2FStrategic%20Alignment%20Dashboards%2F_portal%2FStrategic%20Alignment%20Metrics&amp;Page=DFW%20Rates%20by%20Term&amp;PageIdentifier=83o5bm16jmsgak1t&amp;BookmarkState=lc17fi8am5pmubhv3ba2n1odai&amp;options=-" TargetMode="External"/><Relationship Id="rId52" Type="http://schemas.openxmlformats.org/officeDocument/2006/relationships/hyperlink" Target="https://oac.ku.edu/analytics/saw.dll?Dashboard&amp;PortalPath=%2Fshared%2F-%20OAC%20Home%2F_portal%2FOAC%20Home&amp;Page=Dashboard%20Access%20Reque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ac.ku.edu/analytics/saw.dll?Dashboard&amp;PortalPath=%2Fshared%2FStrategic%20Alignment%20Dashboards%2F_portal%2FStrategic%20Alignment%20Metrics&amp;Page=Priority%20Metrics&amp;PageIdentifier=riqcnqtredjq753l&amp;BookmarkState=g9ja88tgssd9aqpjr7692t586a&amp;options=frdg" TargetMode="External"/><Relationship Id="rId22" Type="http://schemas.openxmlformats.org/officeDocument/2006/relationships/hyperlink" Target="https://kansas.sharepoint.com/:v:/t/apr/IQD16vl2R9dZQZ8P0j54kMo9AQ7L6LYA3aVZ7gqJ2WNFeTE?e=L6yaHG" TargetMode="External"/><Relationship Id="rId27" Type="http://schemas.openxmlformats.org/officeDocument/2006/relationships/hyperlink" Target="https://visualanalytics.ku.edu/views/NSSE2024/TableofContents" TargetMode="External"/><Relationship Id="rId30" Type="http://schemas.openxmlformats.org/officeDocument/2006/relationships/hyperlink" Target="https://kansas.sharepoint.com/:v:/t/apr/IQDeYIo58MO9T4JcNCwM-b8MAe4s05xEy9Xb-RDZgoVO6Tc?e=F7hEJV" TargetMode="External"/><Relationship Id="rId35" Type="http://schemas.openxmlformats.org/officeDocument/2006/relationships/hyperlink" Target="https://visualanalytics.ku.edu/" TargetMode="External"/><Relationship Id="rId43" Type="http://schemas.openxmlformats.org/officeDocument/2006/relationships/hyperlink" Target="https://oac.ku.edu/analytics/saw.dll?Dashboard&amp;PortalPath=%2Fshared%2FStrategic%20Alignment%20Dashboards%2F_portal%2FStrategic%20Alignment%20Metrics&amp;Page=Student%20Success&amp;PageIdentifier=po14g9h95tp93on6&amp;BookmarkState=n6d1fiidmdscb6jmf0lmgrre1e&amp;options=-" TargetMode="External"/><Relationship Id="rId48" Type="http://schemas.openxmlformats.org/officeDocument/2006/relationships/hyperlink" Target="https://kansas.sharepoint.com/:v:/t/apr/IQA7Dck5vZXeS598bQharttBATDkCDs5SC6yZFJiRZjEdmk?e=lhBaPq" TargetMode="External"/><Relationship Id="rId8" Type="http://schemas.openxmlformats.org/officeDocument/2006/relationships/footnotes" Target="footnotes.xml"/><Relationship Id="rId51" Type="http://schemas.openxmlformats.org/officeDocument/2006/relationships/hyperlink" Target="https://kansas.sharepoint.com/:v:/t/apr/IQBEOPCpysOARLChAPuVmTqtAbAKKDXPkNA5tIj93BSHX_I?e=fUerUp" TargetMode="External"/><Relationship Id="rId3" Type="http://schemas.openxmlformats.org/officeDocument/2006/relationships/customXml" Target="../customXml/item3.xml"/><Relationship Id="rId12" Type="http://schemas.openxmlformats.org/officeDocument/2006/relationships/hyperlink" Target="https://oac.ku.edu/analytics/saw.dll?Dashboard&amp;PortalPath=%2Fshared%2FStrategic%20Alignment%20Dashboards%2F_portal%2FStrategic%20Alignment%20Metrics&amp;Page=Priority%20Metrics&amp;PageIdentifier=riqcnqtredjq753l&amp;BookmarkState=g9ja88tgssd9aqpjr7692t586a&amp;options=frdg" TargetMode="External"/><Relationship Id="rId17" Type="http://schemas.openxmlformats.org/officeDocument/2006/relationships/hyperlink" Target="https://oac.ku.edu/analytics/saw.dll?Dashboard&amp;PortalPath=%2Fshared%2FStrategic%20Alignment%20Dashboards%2F_portal%2FStrategic%20Alignment%20Metrics&amp;Page=Student%20Success&amp;PageIdentifier=po14g9h95tp93on6&amp;BookmarkState=n6d1fiidmdscb6jmf0lmgrre1e&amp;options=-" TargetMode="External"/><Relationship Id="rId25" Type="http://schemas.openxmlformats.org/officeDocument/2006/relationships/hyperlink" Target="https://visualanalytics.ku.edu/" TargetMode="External"/><Relationship Id="rId33" Type="http://schemas.openxmlformats.org/officeDocument/2006/relationships/hyperlink" Target="https://visualanalytics.ku.edu/views/NSSE2024/TableofContents" TargetMode="External"/><Relationship Id="rId38" Type="http://schemas.openxmlformats.org/officeDocument/2006/relationships/hyperlink" Target="https://oac.ku.edu/analytics/saw.dll?Dashboard&amp;PortalPath=%2Fshared%2FStrategic%20Alignment%20Dashboards%2F_portal%2FStrategic%20Alignment%20Metrics&amp;Page=Student%20Success&amp;PageIdentifier=po14g9h95tp93on6&amp;BookmarkState=n6d1fiidmdscb6jmf0lmgrre1e&amp;options=-" TargetMode="External"/><Relationship Id="rId46" Type="http://schemas.openxmlformats.org/officeDocument/2006/relationships/hyperlink" Target="https://visualanalytics.ku.edu/views/DocTTD/PrePostOCTTD/ca50005f-668e-48f6-86a0-bad3670edce0/eaa7ef18-b213-41d1-8e54-ae21c6545a8a" TargetMode="External"/><Relationship Id="rId20" Type="http://schemas.openxmlformats.org/officeDocument/2006/relationships/hyperlink" Target="https://oac.ku.edu/analytics/saw.dll?Dashboard&amp;PortalPath=%2Fshared%2FStrategic%20Alignment%20Dashboards%2F_portal%2FStrategic%20Alignment%20Metrics&amp;Page=Time%20to%20Degree&amp;PageIdentifier=3fc7shs0fccbf1h7&amp;BookmarkState=l1sa0i5849govkrpp6d3q6eo4e&amp;options=frdg" TargetMode="External"/><Relationship Id="rId41" Type="http://schemas.openxmlformats.org/officeDocument/2006/relationships/hyperlink" Target="https://visualanalytics.ku.edu/views/One-YearPersistenceinUGPrograms/PersistenceinProgra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ac.ku.edu/analytics/saw.dll?Dashboard&amp;PortalPath=%2Fshared%2FStrategic%20Alignment%20Dashboards%2F_portal%2FStrategic%20Alignment%20Metrics&amp;Page=Faculty%20Productivity&amp;PageIdentifier=tj92bm0f8g7q7ftg&amp;BookmarkState=qmqmfu2ulohn6gphmebnqc1ir6&amp;options=frdg" TargetMode="External"/><Relationship Id="rId23" Type="http://schemas.openxmlformats.org/officeDocument/2006/relationships/hyperlink" Target="https://visualanalytics.ku.edu/" TargetMode="External"/><Relationship Id="rId28" Type="http://schemas.openxmlformats.org/officeDocument/2006/relationships/hyperlink" Target="https://kansas.sharepoint.com/:v:/t/apr/IQDeYIo58MO9T4JcNCwM-b8MAe4s05xEy9Xb-RDZgoVO6Tc?e=F7hEJV" TargetMode="External"/><Relationship Id="rId36" Type="http://schemas.openxmlformats.org/officeDocument/2006/relationships/hyperlink" Target="https://kansas.sharepoint.com/:v:/t/apr/IQBrj50aS0cjQZ93ChuwbEwyAezBY5mccwx6zZxQnUmcOTM?e=MhUDA1" TargetMode="External"/><Relationship Id="rId49" Type="http://schemas.openxmlformats.org/officeDocument/2006/relationships/hyperlink" Target="https://oac.ku.edu/analytics" TargetMode="External"/></Relationships>
</file>

<file path=word/theme/theme1.xml><?xml version="1.0" encoding="utf-8"?>
<a:theme xmlns:a="http://schemas.openxmlformats.org/drawingml/2006/main" name="Office Theme">
  <a:themeElements>
    <a:clrScheme name="KU 1">
      <a:dk1>
        <a:sysClr val="windowText" lastClr="000000"/>
      </a:dk1>
      <a:lt1>
        <a:sysClr val="window" lastClr="FFFFFF"/>
      </a:lt1>
      <a:dk2>
        <a:srgbClr val="44546A"/>
      </a:dk2>
      <a:lt2>
        <a:srgbClr val="E7E6E6"/>
      </a:lt2>
      <a:accent1>
        <a:srgbClr val="0051BA"/>
      </a:accent1>
      <a:accent2>
        <a:srgbClr val="E8000D"/>
      </a:accent2>
      <a:accent3>
        <a:srgbClr val="FFC82D"/>
      </a:accent3>
      <a:accent4>
        <a:srgbClr val="85898A"/>
      </a:accent4>
      <a:accent5>
        <a:srgbClr val="003459"/>
      </a:accent5>
      <a:accent6>
        <a:srgbClr val="73CBF2"/>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dfcb4929-3802-481b-a4bd-911740de2076" xsi:nil="true"/>
    <lcf76f155ced4ddcb4097134ff3c332f xmlns="dfcb4929-3802-481b-a4bd-911740de2076">
      <Terms xmlns="http://schemas.microsoft.com/office/infopath/2007/PartnerControls"/>
    </lcf76f155ced4ddcb4097134ff3c332f>
    <TaxCatchAll xmlns="18267769-b1e0-45d8-aa81-83a907d64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A28008853B9F479F1D21FF80CF69DB" ma:contentTypeVersion="13" ma:contentTypeDescription="Create a new document." ma:contentTypeScope="" ma:versionID="c622c86ba9545d6a6a3cf4626beecad9">
  <xsd:schema xmlns:xsd="http://www.w3.org/2001/XMLSchema" xmlns:xs="http://www.w3.org/2001/XMLSchema" xmlns:p="http://schemas.microsoft.com/office/2006/metadata/properties" xmlns:ns2="dfcb4929-3802-481b-a4bd-911740de2076" xmlns:ns3="18267769-b1e0-45d8-aa81-83a907d647c0" targetNamespace="http://schemas.microsoft.com/office/2006/metadata/properties" ma:root="true" ma:fieldsID="903c3a07644c2f5e629a765289d03666" ns2:_="" ns3:_="">
    <xsd:import namespace="dfcb4929-3802-481b-a4bd-911740de2076"/>
    <xsd:import namespace="18267769-b1e0-45d8-aa81-83a907d647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b4929-3802-481b-a4bd-911740de2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67769-b1e0-45d8-aa81-83a907d647c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a4895f-e145-4bf3-a4b1-c1c5abf60c55}" ma:internalName="TaxCatchAll" ma:showField="CatchAllData" ma:web="18267769-b1e0-45d8-aa81-83a907d64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66ACA-933E-4C5C-A857-192BA2B74441}">
  <ds:schemaRefs>
    <ds:schemaRef ds:uri="http://schemas.microsoft.com/office/2006/metadata/properties"/>
    <ds:schemaRef ds:uri="http://schemas.microsoft.com/office/infopath/2007/PartnerControls"/>
    <ds:schemaRef ds:uri="dfcb4929-3802-481b-a4bd-911740de2076"/>
    <ds:schemaRef ds:uri="18267769-b1e0-45d8-aa81-83a907d647c0"/>
  </ds:schemaRefs>
</ds:datastoreItem>
</file>

<file path=customXml/itemProps2.xml><?xml version="1.0" encoding="utf-8"?>
<ds:datastoreItem xmlns:ds="http://schemas.openxmlformats.org/officeDocument/2006/customXml" ds:itemID="{F3B060A2-B67D-4278-B2C6-22E93DD020F1}">
  <ds:schemaRefs>
    <ds:schemaRef ds:uri="http://schemas.microsoft.com/sharepoint/v3/contenttype/forms"/>
  </ds:schemaRefs>
</ds:datastoreItem>
</file>

<file path=customXml/itemProps3.xml><?xml version="1.0" encoding="utf-8"?>
<ds:datastoreItem xmlns:ds="http://schemas.openxmlformats.org/officeDocument/2006/customXml" ds:itemID="{238ABC7E-E251-4C04-B707-6681B90A8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b4929-3802-481b-a4bd-911740de2076"/>
    <ds:schemaRef ds:uri="18267769-b1e0-45d8-aa81-83a907d64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11560</Characters>
  <Application>Microsoft Office Word</Application>
  <DocSecurity>0</DocSecurity>
  <Lines>642</Lines>
  <Paragraphs>283</Paragraphs>
  <ScaleCrop>false</ScaleCrop>
  <Company>University of Kansas</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Huntley</dc:creator>
  <cp:keywords/>
  <dc:description/>
  <cp:lastModifiedBy>Latta, Kristine</cp:lastModifiedBy>
  <cp:revision>2</cp:revision>
  <dcterms:created xsi:type="dcterms:W3CDTF">2026-06-23T20:49:00Z</dcterms:created>
  <dcterms:modified xsi:type="dcterms:W3CDTF">2026-06-23T20:49:00Z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0x010100B0A28008853B9F479F1D21FF80CF69DB</vt:lpwstr>
  </property>
  <property fmtid="{D5CDD505-2E9C-101B-9397-08002B2CF9AE}" pid="3" name="MediaServiceImageTags">
    <vt:lpwstr/>
  </property>
</Properties>
</file>